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宋体" w:eastAsia="方正小标宋简体"/>
          <w:sz w:val="72"/>
          <w:szCs w:val="72"/>
        </w:rPr>
      </w:pPr>
      <w:bookmarkStart w:id="0" w:name="_Toc15306267"/>
    </w:p>
    <w:p>
      <w:pPr>
        <w:spacing w:line="600" w:lineRule="exact"/>
        <w:jc w:val="center"/>
        <w:rPr>
          <w:rFonts w:ascii="方正小标宋简体" w:hAnsi="宋体" w:eastAsia="方正小标宋简体"/>
          <w:sz w:val="72"/>
          <w:szCs w:val="72"/>
        </w:rPr>
      </w:pPr>
    </w:p>
    <w:p>
      <w:pPr>
        <w:spacing w:line="600" w:lineRule="exact"/>
        <w:jc w:val="center"/>
        <w:rPr>
          <w:rFonts w:ascii="方正小标宋简体" w:hAnsi="宋体" w:eastAsia="方正小标宋简体"/>
          <w:sz w:val="72"/>
          <w:szCs w:val="72"/>
        </w:rPr>
      </w:pPr>
    </w:p>
    <w:p>
      <w:pPr>
        <w:spacing w:line="600" w:lineRule="exact"/>
        <w:jc w:val="center"/>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96597"/>
      <w:bookmarkStart w:id="2" w:name="_Toc27502"/>
      <w:bookmarkStart w:id="3" w:name="_Toc15378441"/>
      <w:bookmarkStart w:id="4" w:name="_Toc15377193"/>
      <w:bookmarkStart w:id="5" w:name="_Toc15396475"/>
      <w:bookmarkStart w:id="6" w:name="_Toc15377425"/>
      <w:r>
        <w:rPr>
          <w:rFonts w:hint="eastAsia" w:ascii="方正小标宋简体" w:hAnsi="方正小标宋简体" w:eastAsia="方正小标宋简体" w:cs="方正小标宋简体"/>
          <w:sz w:val="72"/>
          <w:szCs w:val="72"/>
        </w:rPr>
        <w:t>2021年度</w:t>
      </w:r>
      <w:bookmarkEnd w:id="1"/>
      <w:bookmarkEnd w:id="2"/>
      <w:bookmarkEnd w:id="3"/>
      <w:bookmarkEnd w:id="4"/>
      <w:bookmarkEnd w:id="5"/>
      <w:bookmarkEnd w:id="6"/>
    </w:p>
    <w:bookmarkEnd w:id="0"/>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7" w:name="_Toc1818"/>
      <w:bookmarkStart w:id="8" w:name="_Toc15377426"/>
      <w:bookmarkStart w:id="9" w:name="_Toc15396598"/>
      <w:bookmarkStart w:id="10" w:name="_Toc15378442"/>
      <w:bookmarkStart w:id="11" w:name="_Toc15377194"/>
      <w:bookmarkStart w:id="12" w:name="_Toc15306268"/>
      <w:bookmarkStart w:id="13" w:name="_Toc15396476"/>
      <w:r>
        <w:rPr>
          <w:rFonts w:hint="eastAsia" w:ascii="方正小标宋简体" w:hAnsi="方正小标宋简体" w:eastAsia="方正小标宋简体" w:cs="方正小标宋简体"/>
          <w:sz w:val="72"/>
          <w:szCs w:val="72"/>
        </w:rPr>
        <w:t>四川商务职业学院</w:t>
      </w:r>
      <w:bookmarkEnd w:id="7"/>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4" w:name="_Toc6302"/>
      <w:r>
        <w:rPr>
          <w:rFonts w:hint="eastAsia" w:ascii="方正小标宋简体" w:hAnsi="方正小标宋简体" w:eastAsia="方正小标宋简体" w:cs="方正小标宋简体"/>
          <w:sz w:val="72"/>
          <w:szCs w:val="72"/>
        </w:rPr>
        <w:t>单位决算</w:t>
      </w:r>
      <w:bookmarkEnd w:id="8"/>
      <w:bookmarkEnd w:id="9"/>
      <w:bookmarkEnd w:id="10"/>
      <w:bookmarkEnd w:id="11"/>
      <w:bookmarkEnd w:id="12"/>
      <w:bookmarkEnd w:id="13"/>
      <w:bookmarkEnd w:id="14"/>
    </w:p>
    <w:p>
      <w:pPr>
        <w:widowControl/>
        <w:jc w:val="center"/>
        <w:rPr>
          <w:rFonts w:ascii="黑体" w:hAnsi="黑体" w:eastAsia="黑体"/>
          <w:sz w:val="48"/>
          <w:szCs w:val="48"/>
        </w:rPr>
      </w:pPr>
    </w:p>
    <w:p>
      <w:pPr>
        <w:widowControl/>
        <w:jc w:val="center"/>
        <w:rPr>
          <w:rFonts w:ascii="黑体" w:hAnsi="黑体" w:eastAsia="黑体"/>
          <w:sz w:val="48"/>
          <w:szCs w:val="48"/>
        </w:rPr>
      </w:pPr>
    </w:p>
    <w:p>
      <w:pPr>
        <w:widowControl/>
        <w:jc w:val="center"/>
        <w:rPr>
          <w:rFonts w:ascii="黑体" w:hAnsi="黑体" w:eastAsia="黑体"/>
          <w:sz w:val="48"/>
          <w:szCs w:val="48"/>
        </w:rPr>
      </w:pPr>
    </w:p>
    <w:p>
      <w:pPr>
        <w:widowControl/>
        <w:jc w:val="center"/>
        <w:rPr>
          <w:rFonts w:ascii="黑体" w:hAnsi="黑体" w:eastAsia="黑体"/>
          <w:sz w:val="48"/>
          <w:szCs w:val="48"/>
        </w:rPr>
      </w:pPr>
    </w:p>
    <w:p>
      <w:pPr>
        <w:widowControl/>
        <w:jc w:val="center"/>
        <w:rPr>
          <w:rFonts w:ascii="黑体" w:hAnsi="黑体" w:eastAsia="黑体"/>
          <w:sz w:val="48"/>
          <w:szCs w:val="48"/>
        </w:rPr>
      </w:pPr>
    </w:p>
    <w:p>
      <w:pPr>
        <w:widowControl/>
        <w:jc w:val="center"/>
        <w:rPr>
          <w:rFonts w:ascii="黑体" w:hAnsi="黑体" w:eastAsia="黑体"/>
          <w:sz w:val="48"/>
          <w:szCs w:val="48"/>
        </w:rPr>
      </w:pPr>
    </w:p>
    <w:p>
      <w:pPr>
        <w:widowControl/>
        <w:jc w:val="center"/>
        <w:rPr>
          <w:rFonts w:ascii="黑体" w:hAnsi="黑体" w:eastAsia="黑体"/>
          <w:sz w:val="48"/>
          <w:szCs w:val="48"/>
        </w:rPr>
      </w:pPr>
    </w:p>
    <w:p>
      <w:pPr>
        <w:widowControl/>
        <w:jc w:val="center"/>
        <w:rPr>
          <w:rFonts w:ascii="黑体" w:hAnsi="黑体" w:eastAsia="黑体"/>
          <w:sz w:val="48"/>
          <w:szCs w:val="48"/>
        </w:rPr>
      </w:pPr>
    </w:p>
    <w:p>
      <w:pPr>
        <w:widowControl/>
        <w:jc w:val="center"/>
        <w:rPr>
          <w:rFonts w:ascii="黑体" w:hAnsi="黑体" w:eastAsia="黑体"/>
          <w:sz w:val="48"/>
          <w:szCs w:val="48"/>
        </w:rPr>
      </w:pPr>
    </w:p>
    <w:p>
      <w:pPr>
        <w:widowControl/>
        <w:jc w:val="center"/>
        <w:rPr>
          <w:rFonts w:ascii="黑体" w:hAnsi="黑体" w:eastAsia="黑体"/>
          <w:sz w:val="48"/>
          <w:szCs w:val="48"/>
        </w:rPr>
        <w:sectPr>
          <w:headerReference r:id="rId3" w:type="default"/>
          <w:footerReference r:id="rId4" w:type="default"/>
          <w:pgSz w:w="11906" w:h="16838"/>
          <w:pgMar w:top="1440" w:right="1800" w:bottom="1383" w:left="1800" w:header="851" w:footer="992" w:gutter="0"/>
          <w:pgNumType w:start="1"/>
          <w:cols w:space="425" w:num="1"/>
          <w:titlePg/>
          <w:docGrid w:type="lines" w:linePitch="312" w:charSpace="0"/>
        </w:sectPr>
      </w:pPr>
    </w:p>
    <w:p>
      <w:pPr>
        <w:pStyle w:val="2"/>
        <w:spacing w:before="93"/>
      </w:pPr>
    </w:p>
    <w:p>
      <w:pPr>
        <w:widowControl/>
        <w:jc w:val="center"/>
        <w:rPr>
          <w:rFonts w:ascii="黑体" w:hAnsi="黑体" w:eastAsia="黑体"/>
          <w:sz w:val="48"/>
          <w:szCs w:val="48"/>
        </w:rPr>
      </w:pPr>
    </w:p>
    <w:p>
      <w:pPr>
        <w:widowControl/>
        <w:jc w:val="center"/>
        <w:rPr>
          <w:rFonts w:ascii="黑体" w:hAnsi="黑体" w:eastAsia="黑体" w:cstheme="minorBidi"/>
          <w:sz w:val="28"/>
          <w:szCs w:val="28"/>
        </w:rPr>
      </w:pPr>
      <w:r>
        <w:rPr>
          <w:rFonts w:hint="eastAsia" w:ascii="黑体" w:hAnsi="黑体" w:eastAsia="黑体"/>
          <w:sz w:val="48"/>
          <w:szCs w:val="48"/>
        </w:rPr>
        <w:t>目录</w:t>
      </w:r>
    </w:p>
    <w:p>
      <w:pPr>
        <w:pStyle w:val="11"/>
      </w:pPr>
      <w:r>
        <w:rPr>
          <w:rFonts w:hint="eastAsia"/>
        </w:rPr>
        <w:t>公开时间：2022年9月9日</w:t>
      </w:r>
    </w:p>
    <w:p/>
    <w:sdt>
      <w:sdtPr>
        <w:rPr>
          <w:rFonts w:ascii="宋体" w:hAnsi="宋体"/>
        </w:rPr>
        <w:id w:val="147474839"/>
        <w15:color w:val="DBDBDB"/>
        <w:docPartObj>
          <w:docPartGallery w:val="Table of Contents"/>
          <w:docPartUnique/>
        </w:docPartObj>
      </w:sdtPr>
      <w:sdtEndPr>
        <w:rPr>
          <w:rFonts w:hint="eastAsia" w:ascii="黑体" w:hAnsi="黑体" w:eastAsia="黑体"/>
          <w:b/>
        </w:rPr>
      </w:sdtEndPr>
      <w:sdtContent>
        <w:p>
          <w:pPr>
            <w:jc w:val="center"/>
            <w:rPr>
              <w:b/>
            </w:rPr>
          </w:pPr>
          <w:r>
            <w:rPr>
              <w:rFonts w:hint="eastAsia" w:ascii="黑体" w:hAnsi="黑体" w:eastAsia="黑体"/>
            </w:rPr>
            <w:fldChar w:fldCharType="begin"/>
          </w:r>
          <w:r>
            <w:rPr>
              <w:rFonts w:hint="eastAsia" w:ascii="黑体" w:hAnsi="黑体" w:eastAsia="黑体"/>
            </w:rPr>
            <w:instrText xml:space="preserve">TOC \o "1-2" \h \u </w:instrText>
          </w:r>
          <w:r>
            <w:rPr>
              <w:rFonts w:hint="eastAsia" w:ascii="黑体" w:hAnsi="黑体" w:eastAsia="黑体"/>
            </w:rPr>
            <w:fldChar w:fldCharType="separate"/>
          </w:r>
        </w:p>
        <w:p>
          <w:pPr>
            <w:pStyle w:val="31"/>
            <w:tabs>
              <w:tab w:val="right" w:leader="dot" w:pos="8306"/>
            </w:tabs>
            <w:rPr>
              <w:b/>
            </w:rPr>
          </w:pPr>
          <w:r>
            <w:fldChar w:fldCharType="begin"/>
          </w:r>
          <w:r>
            <w:instrText xml:space="preserve"> HYPERLINK \l "_Toc13422" </w:instrText>
          </w:r>
          <w:r>
            <w:fldChar w:fldCharType="separate"/>
          </w:r>
          <w:r>
            <w:rPr>
              <w:rFonts w:hint="eastAsia" w:ascii="黑体" w:hAnsi="黑体" w:eastAsia="黑体"/>
              <w:b/>
            </w:rPr>
            <w:t>第一部分 单位概况</w:t>
          </w:r>
          <w:r>
            <w:rPr>
              <w:b/>
            </w:rPr>
            <w:tab/>
          </w:r>
          <w:r>
            <w:rPr>
              <w:b/>
            </w:rPr>
            <w:fldChar w:fldCharType="begin"/>
          </w:r>
          <w:r>
            <w:rPr>
              <w:b/>
            </w:rPr>
            <w:instrText xml:space="preserve"> PAGEREF _Toc13422 \h </w:instrText>
          </w:r>
          <w:r>
            <w:rPr>
              <w:b/>
            </w:rPr>
            <w:fldChar w:fldCharType="separate"/>
          </w:r>
          <w:r>
            <w:rPr>
              <w:b/>
            </w:rPr>
            <w:t>1</w:t>
          </w:r>
          <w:r>
            <w:rPr>
              <w:b/>
            </w:rPr>
            <w:fldChar w:fldCharType="end"/>
          </w:r>
          <w:r>
            <w:rPr>
              <w:b/>
            </w:rPr>
            <w:fldChar w:fldCharType="end"/>
          </w:r>
        </w:p>
        <w:p>
          <w:pPr>
            <w:pStyle w:val="32"/>
            <w:tabs>
              <w:tab w:val="right" w:leader="dot" w:pos="8306"/>
            </w:tabs>
            <w:ind w:left="420"/>
          </w:pPr>
          <w:r>
            <w:fldChar w:fldCharType="begin"/>
          </w:r>
          <w:r>
            <w:instrText xml:space="preserve"> HYPERLINK \l "_Toc13850" </w:instrText>
          </w:r>
          <w:r>
            <w:fldChar w:fldCharType="separate"/>
          </w:r>
          <w:r>
            <w:rPr>
              <w:rFonts w:hint="eastAsia" w:ascii="黑体" w:hAnsi="黑体" w:eastAsia="黑体"/>
              <w:bCs/>
            </w:rPr>
            <w:t>一、职能简介</w:t>
          </w:r>
          <w:r>
            <w:tab/>
          </w:r>
          <w:r>
            <w:fldChar w:fldCharType="begin"/>
          </w:r>
          <w:r>
            <w:instrText xml:space="preserve"> PAGEREF _Toc13850 \h </w:instrText>
          </w:r>
          <w:r>
            <w:fldChar w:fldCharType="separate"/>
          </w:r>
          <w:r>
            <w:t>1</w:t>
          </w:r>
          <w:r>
            <w:fldChar w:fldCharType="end"/>
          </w:r>
          <w:r>
            <w:fldChar w:fldCharType="end"/>
          </w:r>
        </w:p>
        <w:p>
          <w:pPr>
            <w:pStyle w:val="32"/>
            <w:tabs>
              <w:tab w:val="right" w:leader="dot" w:pos="8306"/>
            </w:tabs>
            <w:ind w:left="420"/>
          </w:pPr>
          <w:r>
            <w:fldChar w:fldCharType="begin"/>
          </w:r>
          <w:r>
            <w:instrText xml:space="preserve"> HYPERLINK \l "_Toc7983" </w:instrText>
          </w:r>
          <w:r>
            <w:fldChar w:fldCharType="separate"/>
          </w:r>
          <w:r>
            <w:rPr>
              <w:rFonts w:hint="eastAsia" w:ascii="黑体" w:hAnsi="黑体" w:eastAsia="黑体"/>
            </w:rPr>
            <w:t>二、2021年重点工作完成情况</w:t>
          </w:r>
          <w:r>
            <w:tab/>
          </w:r>
          <w:r>
            <w:fldChar w:fldCharType="begin"/>
          </w:r>
          <w:r>
            <w:instrText xml:space="preserve"> PAGEREF _Toc7983 \h </w:instrText>
          </w:r>
          <w:r>
            <w:fldChar w:fldCharType="separate"/>
          </w:r>
          <w:r>
            <w:t>2</w:t>
          </w:r>
          <w:r>
            <w:fldChar w:fldCharType="end"/>
          </w:r>
          <w:r>
            <w:fldChar w:fldCharType="end"/>
          </w:r>
        </w:p>
        <w:p>
          <w:pPr>
            <w:pStyle w:val="32"/>
            <w:tabs>
              <w:tab w:val="right" w:leader="dot" w:pos="8306"/>
            </w:tabs>
            <w:ind w:left="420"/>
          </w:pPr>
          <w:r>
            <w:fldChar w:fldCharType="begin"/>
          </w:r>
          <w:r>
            <w:instrText xml:space="preserve"> HYPERLINK \l "_Toc4435" </w:instrText>
          </w:r>
          <w:r>
            <w:fldChar w:fldCharType="separate"/>
          </w:r>
          <w:r>
            <w:rPr>
              <w:rFonts w:hint="eastAsia" w:ascii="黑体" w:hAnsi="黑体" w:eastAsia="黑体" w:cstheme="majorBidi"/>
              <w:szCs w:val="32"/>
            </w:rPr>
            <w:t>三、机构设置情况</w:t>
          </w:r>
          <w:r>
            <w:tab/>
          </w:r>
          <w:r>
            <w:fldChar w:fldCharType="begin"/>
          </w:r>
          <w:r>
            <w:instrText xml:space="preserve"> PAGEREF _Toc4435 \h </w:instrText>
          </w:r>
          <w:r>
            <w:fldChar w:fldCharType="separate"/>
          </w:r>
          <w:r>
            <w:t>4</w:t>
          </w:r>
          <w:r>
            <w:fldChar w:fldCharType="end"/>
          </w:r>
          <w:r>
            <w:fldChar w:fldCharType="end"/>
          </w:r>
        </w:p>
        <w:p>
          <w:pPr>
            <w:pStyle w:val="31"/>
            <w:tabs>
              <w:tab w:val="right" w:leader="dot" w:pos="8306"/>
            </w:tabs>
            <w:rPr>
              <w:b/>
            </w:rPr>
          </w:pPr>
          <w:r>
            <w:fldChar w:fldCharType="begin"/>
          </w:r>
          <w:r>
            <w:instrText xml:space="preserve"> HYPERLINK \l "_Toc2995" </w:instrText>
          </w:r>
          <w:r>
            <w:fldChar w:fldCharType="separate"/>
          </w:r>
          <w:r>
            <w:rPr>
              <w:rFonts w:hint="eastAsia" w:ascii="黑体" w:hAnsi="黑体" w:eastAsia="黑体"/>
              <w:b/>
            </w:rPr>
            <w:t>第二部分 2021年度</w:t>
          </w:r>
          <w:r>
            <w:rPr>
              <w:rFonts w:hint="eastAsia" w:ascii="黑体" w:hAnsi="黑体" w:eastAsia="黑体"/>
              <w:b/>
              <w:bCs/>
            </w:rPr>
            <w:t>单位决算情况说明</w:t>
          </w:r>
          <w:r>
            <w:rPr>
              <w:b/>
            </w:rPr>
            <w:tab/>
          </w:r>
          <w:r>
            <w:rPr>
              <w:b/>
            </w:rPr>
            <w:fldChar w:fldCharType="begin"/>
          </w:r>
          <w:r>
            <w:rPr>
              <w:b/>
            </w:rPr>
            <w:instrText xml:space="preserve"> PAGEREF _Toc2995 \h </w:instrText>
          </w:r>
          <w:r>
            <w:rPr>
              <w:b/>
            </w:rPr>
            <w:fldChar w:fldCharType="separate"/>
          </w:r>
          <w:r>
            <w:rPr>
              <w:b/>
            </w:rPr>
            <w:t>6</w:t>
          </w:r>
          <w:r>
            <w:rPr>
              <w:b/>
            </w:rPr>
            <w:fldChar w:fldCharType="end"/>
          </w:r>
          <w:r>
            <w:rPr>
              <w:b/>
            </w:rPr>
            <w:fldChar w:fldCharType="end"/>
          </w:r>
        </w:p>
        <w:p>
          <w:pPr>
            <w:pStyle w:val="32"/>
            <w:tabs>
              <w:tab w:val="right" w:leader="dot" w:pos="8306"/>
            </w:tabs>
            <w:ind w:left="420"/>
          </w:pPr>
          <w:r>
            <w:fldChar w:fldCharType="begin"/>
          </w:r>
          <w:r>
            <w:instrText xml:space="preserve"> HYPERLINK \l "_Toc24415" </w:instrText>
          </w:r>
          <w:r>
            <w:fldChar w:fldCharType="separate"/>
          </w:r>
          <w:r>
            <w:rPr>
              <w:rFonts w:hint="eastAsia" w:ascii="黑体" w:hAnsi="黑体" w:eastAsia="黑体"/>
              <w:bCs/>
              <w:szCs w:val="32"/>
            </w:rPr>
            <w:t>一、收</w:t>
          </w:r>
          <w:r>
            <w:rPr>
              <w:rFonts w:hint="eastAsia" w:ascii="黑体" w:hAnsi="黑体" w:eastAsia="黑体"/>
            </w:rPr>
            <w:t>入支出决算总体情况说明</w:t>
          </w:r>
          <w:r>
            <w:tab/>
          </w:r>
          <w:r>
            <w:fldChar w:fldCharType="begin"/>
          </w:r>
          <w:r>
            <w:instrText xml:space="preserve"> PAGEREF _Toc24415 \h </w:instrText>
          </w:r>
          <w:r>
            <w:fldChar w:fldCharType="separate"/>
          </w:r>
          <w:r>
            <w:t>6</w:t>
          </w:r>
          <w:r>
            <w:fldChar w:fldCharType="end"/>
          </w:r>
          <w:r>
            <w:fldChar w:fldCharType="end"/>
          </w:r>
        </w:p>
        <w:p>
          <w:pPr>
            <w:pStyle w:val="32"/>
            <w:tabs>
              <w:tab w:val="right" w:leader="dot" w:pos="8306"/>
            </w:tabs>
            <w:ind w:left="420"/>
          </w:pPr>
          <w:r>
            <w:fldChar w:fldCharType="begin"/>
          </w:r>
          <w:r>
            <w:instrText xml:space="preserve"> HYPERLINK \l "_Toc15457" </w:instrText>
          </w:r>
          <w:r>
            <w:fldChar w:fldCharType="separate"/>
          </w:r>
          <w:r>
            <w:rPr>
              <w:rFonts w:hint="eastAsia" w:ascii="黑体" w:hAnsi="黑体" w:eastAsia="黑体"/>
              <w:bCs/>
              <w:szCs w:val="32"/>
            </w:rPr>
            <w:t>二、收</w:t>
          </w:r>
          <w:r>
            <w:rPr>
              <w:rFonts w:hint="eastAsia" w:ascii="黑体" w:hAnsi="黑体" w:eastAsia="黑体"/>
            </w:rPr>
            <w:t>入决算情况说明</w:t>
          </w:r>
          <w:r>
            <w:tab/>
          </w:r>
          <w:r>
            <w:fldChar w:fldCharType="begin"/>
          </w:r>
          <w:r>
            <w:instrText xml:space="preserve"> PAGEREF _Toc15457 \h </w:instrText>
          </w:r>
          <w:r>
            <w:fldChar w:fldCharType="separate"/>
          </w:r>
          <w:r>
            <w:t>6</w:t>
          </w:r>
          <w:r>
            <w:fldChar w:fldCharType="end"/>
          </w:r>
          <w:r>
            <w:fldChar w:fldCharType="end"/>
          </w:r>
        </w:p>
        <w:p>
          <w:pPr>
            <w:pStyle w:val="32"/>
            <w:tabs>
              <w:tab w:val="right" w:leader="dot" w:pos="8306"/>
            </w:tabs>
            <w:ind w:left="420"/>
          </w:pPr>
          <w:r>
            <w:fldChar w:fldCharType="begin"/>
          </w:r>
          <w:r>
            <w:instrText xml:space="preserve"> HYPERLINK \l "_Toc23908" </w:instrText>
          </w:r>
          <w:r>
            <w:fldChar w:fldCharType="separate"/>
          </w:r>
          <w:r>
            <w:rPr>
              <w:rFonts w:hint="eastAsia" w:ascii="黑体" w:hAnsi="黑体" w:eastAsia="黑体"/>
              <w:bCs/>
              <w:szCs w:val="32"/>
            </w:rPr>
            <w:t>三、支</w:t>
          </w:r>
          <w:r>
            <w:rPr>
              <w:rFonts w:hint="eastAsia" w:ascii="黑体" w:hAnsi="黑体" w:eastAsia="黑体"/>
            </w:rPr>
            <w:t>出决算情况说明</w:t>
          </w:r>
          <w:r>
            <w:tab/>
          </w:r>
          <w:r>
            <w:fldChar w:fldCharType="begin"/>
          </w:r>
          <w:r>
            <w:instrText xml:space="preserve"> PAGEREF _Toc23908 \h </w:instrText>
          </w:r>
          <w:r>
            <w:fldChar w:fldCharType="separate"/>
          </w:r>
          <w:r>
            <w:t>7</w:t>
          </w:r>
          <w:r>
            <w:fldChar w:fldCharType="end"/>
          </w:r>
          <w:r>
            <w:fldChar w:fldCharType="end"/>
          </w:r>
        </w:p>
        <w:p>
          <w:pPr>
            <w:pStyle w:val="32"/>
            <w:tabs>
              <w:tab w:val="right" w:leader="dot" w:pos="8306"/>
            </w:tabs>
            <w:ind w:left="420"/>
          </w:pPr>
          <w:r>
            <w:fldChar w:fldCharType="begin"/>
          </w:r>
          <w:r>
            <w:instrText xml:space="preserve"> HYPERLINK \l "_Toc9938" </w:instrText>
          </w:r>
          <w:r>
            <w:fldChar w:fldCharType="separate"/>
          </w:r>
          <w:r>
            <w:rPr>
              <w:rFonts w:hint="eastAsia" w:ascii="黑体" w:hAnsi="黑体" w:eastAsia="黑体"/>
              <w:bCs/>
              <w:szCs w:val="32"/>
            </w:rPr>
            <w:t>四、财</w:t>
          </w:r>
          <w:r>
            <w:rPr>
              <w:rFonts w:hint="eastAsia" w:ascii="黑体" w:hAnsi="黑体" w:eastAsia="黑体"/>
            </w:rPr>
            <w:t>政拨款收入支出决算总体情况说明</w:t>
          </w:r>
          <w:r>
            <w:tab/>
          </w:r>
          <w:r>
            <w:fldChar w:fldCharType="begin"/>
          </w:r>
          <w:r>
            <w:instrText xml:space="preserve"> PAGEREF _Toc9938 \h </w:instrText>
          </w:r>
          <w:r>
            <w:fldChar w:fldCharType="separate"/>
          </w:r>
          <w:r>
            <w:t>7</w:t>
          </w:r>
          <w:r>
            <w:fldChar w:fldCharType="end"/>
          </w:r>
          <w:r>
            <w:fldChar w:fldCharType="end"/>
          </w:r>
        </w:p>
        <w:p>
          <w:pPr>
            <w:pStyle w:val="32"/>
            <w:tabs>
              <w:tab w:val="right" w:leader="dot" w:pos="8306"/>
            </w:tabs>
            <w:ind w:left="420"/>
          </w:pPr>
          <w:r>
            <w:fldChar w:fldCharType="begin"/>
          </w:r>
          <w:r>
            <w:instrText xml:space="preserve"> HYPERLINK \l "_Toc30129"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begin"/>
          </w:r>
          <w:r>
            <w:instrText xml:space="preserve"> PAGEREF _Toc30129 \h </w:instrText>
          </w:r>
          <w:r>
            <w:fldChar w:fldCharType="separate"/>
          </w:r>
          <w:r>
            <w:t>8</w:t>
          </w:r>
          <w:r>
            <w:fldChar w:fldCharType="end"/>
          </w:r>
          <w:r>
            <w:fldChar w:fldCharType="end"/>
          </w:r>
        </w:p>
        <w:p>
          <w:pPr>
            <w:pStyle w:val="32"/>
            <w:tabs>
              <w:tab w:val="right" w:leader="dot" w:pos="8306"/>
            </w:tabs>
            <w:ind w:left="420"/>
          </w:pPr>
          <w:r>
            <w:fldChar w:fldCharType="begin"/>
          </w:r>
          <w:r>
            <w:instrText xml:space="preserve"> HYPERLINK \l "_Toc12610" </w:instrText>
          </w:r>
          <w:r>
            <w:fldChar w:fldCharType="separate"/>
          </w:r>
          <w:r>
            <w:rPr>
              <w:rFonts w:hint="eastAsia" w:ascii="黑体" w:hAnsi="黑体" w:eastAsia="黑体"/>
              <w:bCs/>
              <w:szCs w:val="32"/>
            </w:rPr>
            <w:t>六、一</w:t>
          </w:r>
          <w:r>
            <w:rPr>
              <w:rFonts w:hint="eastAsia" w:ascii="黑体" w:hAnsi="黑体" w:eastAsia="黑体"/>
            </w:rPr>
            <w:t>般公共预算财政拨款基本支出决算情况说明</w:t>
          </w:r>
          <w:r>
            <w:tab/>
          </w:r>
          <w:r>
            <w:fldChar w:fldCharType="begin"/>
          </w:r>
          <w:r>
            <w:instrText xml:space="preserve"> PAGEREF _Toc12610 \h </w:instrText>
          </w:r>
          <w:r>
            <w:fldChar w:fldCharType="separate"/>
          </w:r>
          <w:r>
            <w:t>11</w:t>
          </w:r>
          <w:r>
            <w:fldChar w:fldCharType="end"/>
          </w:r>
          <w:r>
            <w:fldChar w:fldCharType="end"/>
          </w:r>
        </w:p>
        <w:p>
          <w:pPr>
            <w:pStyle w:val="32"/>
            <w:tabs>
              <w:tab w:val="right" w:leader="dot" w:pos="8306"/>
            </w:tabs>
            <w:ind w:left="420"/>
          </w:pPr>
          <w:r>
            <w:fldChar w:fldCharType="begin"/>
          </w:r>
          <w:r>
            <w:instrText xml:space="preserve"> HYPERLINK \l "_Toc10545" </w:instrText>
          </w:r>
          <w:r>
            <w:fldChar w:fldCharType="separate"/>
          </w:r>
          <w:r>
            <w:rPr>
              <w:rFonts w:hint="eastAsia" w:ascii="黑体" w:eastAsia="黑体"/>
              <w:bCs/>
              <w:szCs w:val="32"/>
            </w:rPr>
            <w:t>七、</w:t>
          </w:r>
          <w:r>
            <w:rPr>
              <w:rFonts w:hint="eastAsia" w:ascii="黑体" w:hAnsi="黑体" w:eastAsia="黑体"/>
            </w:rPr>
            <w:t>“三公”经费财政拨款支出决算情况说明</w:t>
          </w:r>
          <w:r>
            <w:tab/>
          </w:r>
          <w:r>
            <w:fldChar w:fldCharType="begin"/>
          </w:r>
          <w:r>
            <w:instrText xml:space="preserve"> PAGEREF _Toc10545 \h </w:instrText>
          </w:r>
          <w:r>
            <w:fldChar w:fldCharType="separate"/>
          </w:r>
          <w:r>
            <w:t>11</w:t>
          </w:r>
          <w:r>
            <w:fldChar w:fldCharType="end"/>
          </w:r>
          <w:r>
            <w:fldChar w:fldCharType="end"/>
          </w:r>
        </w:p>
        <w:p>
          <w:pPr>
            <w:pStyle w:val="32"/>
            <w:tabs>
              <w:tab w:val="right" w:leader="dot" w:pos="8306"/>
            </w:tabs>
            <w:ind w:left="420"/>
          </w:pPr>
          <w:r>
            <w:fldChar w:fldCharType="begin"/>
          </w:r>
          <w:r>
            <w:instrText xml:space="preserve"> HYPERLINK \l "_Toc6123" </w:instrText>
          </w:r>
          <w:r>
            <w:fldChar w:fldCharType="separate"/>
          </w:r>
          <w:r>
            <w:rPr>
              <w:rFonts w:hint="eastAsia" w:ascii="黑体" w:eastAsia="黑体"/>
              <w:bCs/>
              <w:szCs w:val="32"/>
            </w:rPr>
            <w:t>八、</w:t>
          </w:r>
          <w:r>
            <w:rPr>
              <w:rFonts w:hint="eastAsia" w:ascii="黑体" w:hAnsi="黑体" w:eastAsia="黑体"/>
            </w:rPr>
            <w:t>政府性基金预算支出决算情况说明</w:t>
          </w:r>
          <w:r>
            <w:tab/>
          </w:r>
          <w:r>
            <w:fldChar w:fldCharType="begin"/>
          </w:r>
          <w:r>
            <w:instrText xml:space="preserve"> PAGEREF _Toc6123 \h </w:instrText>
          </w:r>
          <w:r>
            <w:fldChar w:fldCharType="separate"/>
          </w:r>
          <w:r>
            <w:t>13</w:t>
          </w:r>
          <w:r>
            <w:fldChar w:fldCharType="end"/>
          </w:r>
          <w:r>
            <w:fldChar w:fldCharType="end"/>
          </w:r>
        </w:p>
        <w:p>
          <w:pPr>
            <w:pStyle w:val="32"/>
            <w:tabs>
              <w:tab w:val="right" w:leader="dot" w:pos="8306"/>
            </w:tabs>
            <w:ind w:left="420"/>
          </w:pPr>
          <w:r>
            <w:fldChar w:fldCharType="begin"/>
          </w:r>
          <w:r>
            <w:instrText xml:space="preserve"> HYPERLINK \l "_Toc1240" </w:instrText>
          </w:r>
          <w:r>
            <w:fldChar w:fldCharType="separate"/>
          </w:r>
          <w:r>
            <w:rPr>
              <w:rFonts w:hint="eastAsia" w:ascii="黑体" w:hAnsi="黑体" w:eastAsia="黑体"/>
            </w:rPr>
            <w:t>九、 国有资本经营预算支出决算情况说明</w:t>
          </w:r>
          <w:r>
            <w:tab/>
          </w:r>
          <w:r>
            <w:fldChar w:fldCharType="begin"/>
          </w:r>
          <w:r>
            <w:instrText xml:space="preserve"> PAGEREF _Toc1240 \h </w:instrText>
          </w:r>
          <w:r>
            <w:fldChar w:fldCharType="separate"/>
          </w:r>
          <w:r>
            <w:t>13</w:t>
          </w:r>
          <w:r>
            <w:fldChar w:fldCharType="end"/>
          </w:r>
          <w:r>
            <w:fldChar w:fldCharType="end"/>
          </w:r>
        </w:p>
        <w:p>
          <w:pPr>
            <w:pStyle w:val="32"/>
            <w:tabs>
              <w:tab w:val="right" w:leader="dot" w:pos="8306"/>
            </w:tabs>
            <w:ind w:left="420"/>
          </w:pPr>
          <w:r>
            <w:fldChar w:fldCharType="begin"/>
          </w:r>
          <w:r>
            <w:instrText xml:space="preserve"> HYPERLINK \l "_Toc7348" </w:instrText>
          </w:r>
          <w:r>
            <w:fldChar w:fldCharType="separate"/>
          </w:r>
          <w:r>
            <w:rPr>
              <w:rFonts w:hint="eastAsia" w:ascii="黑体" w:hAnsi="黑体" w:eastAsia="黑体"/>
            </w:rPr>
            <w:t>十、 其他重要事项的情况说明</w:t>
          </w:r>
          <w:r>
            <w:tab/>
          </w:r>
          <w:r>
            <w:fldChar w:fldCharType="begin"/>
          </w:r>
          <w:r>
            <w:instrText xml:space="preserve"> PAGEREF _Toc7348 \h </w:instrText>
          </w:r>
          <w:r>
            <w:fldChar w:fldCharType="separate"/>
          </w:r>
          <w:r>
            <w:t>13</w:t>
          </w:r>
          <w:r>
            <w:fldChar w:fldCharType="end"/>
          </w:r>
          <w:r>
            <w:fldChar w:fldCharType="end"/>
          </w:r>
        </w:p>
        <w:p>
          <w:pPr>
            <w:pStyle w:val="31"/>
            <w:tabs>
              <w:tab w:val="right" w:leader="dot" w:pos="8306"/>
            </w:tabs>
            <w:rPr>
              <w:b/>
            </w:rPr>
          </w:pPr>
          <w:r>
            <w:fldChar w:fldCharType="begin"/>
          </w:r>
          <w:r>
            <w:instrText xml:space="preserve"> HYPERLINK \l "_Toc23399" </w:instrText>
          </w:r>
          <w:r>
            <w:fldChar w:fldCharType="separate"/>
          </w:r>
          <w:r>
            <w:rPr>
              <w:rFonts w:hint="eastAsia" w:ascii="黑体" w:hAnsi="黑体" w:eastAsia="黑体" w:cs="黑体"/>
              <w:b/>
              <w:szCs w:val="44"/>
            </w:rPr>
            <w:t xml:space="preserve">第三部分 </w:t>
          </w:r>
          <w:r>
            <w:rPr>
              <w:rFonts w:hint="eastAsia" w:ascii="黑体" w:hAnsi="黑体" w:eastAsia="黑体"/>
              <w:b/>
              <w:szCs w:val="44"/>
            </w:rPr>
            <w:t>名</w:t>
          </w:r>
          <w:r>
            <w:rPr>
              <w:rFonts w:hint="eastAsia" w:ascii="黑体" w:hAnsi="黑体" w:eastAsia="黑体"/>
              <w:b/>
            </w:rPr>
            <w:t>词解释</w:t>
          </w:r>
          <w:r>
            <w:rPr>
              <w:b/>
            </w:rPr>
            <w:tab/>
          </w:r>
          <w:r>
            <w:rPr>
              <w:b/>
            </w:rPr>
            <w:fldChar w:fldCharType="begin"/>
          </w:r>
          <w:r>
            <w:rPr>
              <w:b/>
            </w:rPr>
            <w:instrText xml:space="preserve"> PAGEREF _Toc23399 \h </w:instrText>
          </w:r>
          <w:r>
            <w:rPr>
              <w:b/>
            </w:rPr>
            <w:fldChar w:fldCharType="separate"/>
          </w:r>
          <w:r>
            <w:rPr>
              <w:b/>
            </w:rPr>
            <w:t>15</w:t>
          </w:r>
          <w:r>
            <w:rPr>
              <w:b/>
            </w:rPr>
            <w:fldChar w:fldCharType="end"/>
          </w:r>
          <w:r>
            <w:rPr>
              <w:b/>
            </w:rPr>
            <w:fldChar w:fldCharType="end"/>
          </w:r>
        </w:p>
        <w:p>
          <w:pPr>
            <w:pStyle w:val="31"/>
            <w:tabs>
              <w:tab w:val="right" w:leader="dot" w:pos="8306"/>
            </w:tabs>
            <w:rPr>
              <w:b/>
            </w:rPr>
          </w:pPr>
          <w:r>
            <w:fldChar w:fldCharType="begin"/>
          </w:r>
          <w:r>
            <w:instrText xml:space="preserve"> HYPERLINK \l "_Toc26088" </w:instrText>
          </w:r>
          <w:r>
            <w:fldChar w:fldCharType="separate"/>
          </w:r>
          <w:r>
            <w:rPr>
              <w:rFonts w:hint="eastAsia" w:ascii="黑体" w:hAnsi="黑体" w:eastAsia="黑体"/>
              <w:b/>
              <w:szCs w:val="44"/>
            </w:rPr>
            <w:t>第</w:t>
          </w:r>
          <w:r>
            <w:rPr>
              <w:rFonts w:hint="eastAsia" w:ascii="黑体" w:hAnsi="黑体" w:eastAsia="黑体"/>
              <w:b/>
            </w:rPr>
            <w:t>四部分 附件</w:t>
          </w:r>
          <w:r>
            <w:rPr>
              <w:b/>
            </w:rPr>
            <w:tab/>
          </w:r>
          <w:r>
            <w:rPr>
              <w:b/>
            </w:rPr>
            <w:fldChar w:fldCharType="begin"/>
          </w:r>
          <w:r>
            <w:rPr>
              <w:b/>
            </w:rPr>
            <w:instrText xml:space="preserve"> PAGEREF _Toc26088 \h </w:instrText>
          </w:r>
          <w:r>
            <w:rPr>
              <w:b/>
            </w:rPr>
            <w:fldChar w:fldCharType="separate"/>
          </w:r>
          <w:r>
            <w:rPr>
              <w:b/>
            </w:rPr>
            <w:t>17</w:t>
          </w:r>
          <w:r>
            <w:rPr>
              <w:b/>
            </w:rPr>
            <w:fldChar w:fldCharType="end"/>
          </w:r>
          <w:r>
            <w:rPr>
              <w:b/>
            </w:rPr>
            <w:fldChar w:fldCharType="end"/>
          </w:r>
        </w:p>
        <w:p>
          <w:pPr>
            <w:pStyle w:val="31"/>
            <w:tabs>
              <w:tab w:val="right" w:leader="dot" w:pos="8306"/>
            </w:tabs>
            <w:rPr>
              <w:b/>
            </w:rPr>
          </w:pPr>
          <w:r>
            <w:fldChar w:fldCharType="begin"/>
          </w:r>
          <w:r>
            <w:instrText xml:space="preserve"> HYPERLINK \l "_Toc9801" </w:instrText>
          </w:r>
          <w:r>
            <w:fldChar w:fldCharType="separate"/>
          </w:r>
          <w:r>
            <w:rPr>
              <w:rFonts w:hint="eastAsia" w:ascii="黑体" w:hAnsi="黑体" w:eastAsia="黑体"/>
              <w:b/>
              <w:szCs w:val="44"/>
            </w:rPr>
            <w:t>第</w:t>
          </w:r>
          <w:r>
            <w:rPr>
              <w:rFonts w:hint="eastAsia" w:ascii="黑体" w:hAnsi="黑体" w:eastAsia="黑体"/>
              <w:b/>
            </w:rPr>
            <w:t>五部分 附表</w:t>
          </w:r>
          <w:r>
            <w:rPr>
              <w:b/>
            </w:rPr>
            <w:tab/>
          </w:r>
          <w:r>
            <w:rPr>
              <w:b/>
            </w:rPr>
            <w:fldChar w:fldCharType="begin"/>
          </w:r>
          <w:r>
            <w:rPr>
              <w:b/>
            </w:rPr>
            <w:instrText xml:space="preserve"> PAGEREF _Toc9801 \h </w:instrText>
          </w:r>
          <w:r>
            <w:rPr>
              <w:b/>
            </w:rPr>
            <w:fldChar w:fldCharType="separate"/>
          </w:r>
          <w:r>
            <w:rPr>
              <w:b/>
            </w:rPr>
            <w:t>34</w:t>
          </w:r>
          <w:r>
            <w:rPr>
              <w:b/>
            </w:rPr>
            <w:fldChar w:fldCharType="end"/>
          </w:r>
          <w:r>
            <w:rPr>
              <w:b/>
            </w:rPr>
            <w:fldChar w:fldCharType="end"/>
          </w:r>
        </w:p>
        <w:p>
          <w:pPr>
            <w:pStyle w:val="32"/>
            <w:tabs>
              <w:tab w:val="right" w:leader="dot" w:pos="8306"/>
            </w:tabs>
            <w:ind w:left="420"/>
          </w:pPr>
          <w:r>
            <w:fldChar w:fldCharType="begin"/>
          </w:r>
          <w:r>
            <w:instrText xml:space="preserve"> HYPERLINK \l "_Toc27242" </w:instrText>
          </w:r>
          <w:r>
            <w:fldChar w:fldCharType="separate"/>
          </w:r>
          <w:r>
            <w:rPr>
              <w:rFonts w:hint="eastAsia" w:ascii="黑体" w:hAnsi="黑体" w:eastAsia="黑体" w:cs="黑体"/>
            </w:rPr>
            <w:t>一、收入支出决算总表</w:t>
          </w:r>
          <w:r>
            <w:tab/>
          </w:r>
          <w:r>
            <w:fldChar w:fldCharType="begin"/>
          </w:r>
          <w:r>
            <w:instrText xml:space="preserve"> PAGEREF _Toc27242 \h </w:instrText>
          </w:r>
          <w:r>
            <w:fldChar w:fldCharType="separate"/>
          </w:r>
          <w:r>
            <w:t>34</w:t>
          </w:r>
          <w:r>
            <w:fldChar w:fldCharType="end"/>
          </w:r>
          <w:r>
            <w:fldChar w:fldCharType="end"/>
          </w:r>
        </w:p>
        <w:p>
          <w:pPr>
            <w:pStyle w:val="32"/>
            <w:tabs>
              <w:tab w:val="right" w:leader="dot" w:pos="8306"/>
            </w:tabs>
            <w:ind w:left="420"/>
          </w:pPr>
          <w:r>
            <w:fldChar w:fldCharType="begin"/>
          </w:r>
          <w:r>
            <w:instrText xml:space="preserve"> HYPERLINK \l "_Toc24431" </w:instrText>
          </w:r>
          <w:r>
            <w:fldChar w:fldCharType="separate"/>
          </w:r>
          <w:r>
            <w:rPr>
              <w:rFonts w:hint="eastAsia" w:ascii="黑体" w:hAnsi="黑体" w:eastAsia="黑体" w:cs="黑体"/>
            </w:rPr>
            <w:t>二、收入决算表</w:t>
          </w:r>
          <w:r>
            <w:tab/>
          </w:r>
          <w:r>
            <w:fldChar w:fldCharType="begin"/>
          </w:r>
          <w:r>
            <w:instrText xml:space="preserve"> PAGEREF _Toc24431 \h </w:instrText>
          </w:r>
          <w:r>
            <w:fldChar w:fldCharType="separate"/>
          </w:r>
          <w:r>
            <w:t>35</w:t>
          </w:r>
          <w:r>
            <w:fldChar w:fldCharType="end"/>
          </w:r>
          <w:r>
            <w:fldChar w:fldCharType="end"/>
          </w:r>
        </w:p>
        <w:p>
          <w:pPr>
            <w:pStyle w:val="32"/>
            <w:tabs>
              <w:tab w:val="right" w:leader="dot" w:pos="8306"/>
            </w:tabs>
            <w:ind w:left="420"/>
          </w:pPr>
          <w:r>
            <w:fldChar w:fldCharType="begin"/>
          </w:r>
          <w:r>
            <w:instrText xml:space="preserve"> HYPERLINK \l "_Toc2199" </w:instrText>
          </w:r>
          <w:r>
            <w:fldChar w:fldCharType="separate"/>
          </w:r>
          <w:r>
            <w:rPr>
              <w:rFonts w:hint="eastAsia" w:ascii="黑体" w:hAnsi="黑体" w:eastAsia="黑体" w:cs="黑体"/>
            </w:rPr>
            <w:t>三、支出决算表</w:t>
          </w:r>
          <w:r>
            <w:tab/>
          </w:r>
          <w:r>
            <w:fldChar w:fldCharType="begin"/>
          </w:r>
          <w:r>
            <w:instrText xml:space="preserve"> PAGEREF _Toc2199 \h </w:instrText>
          </w:r>
          <w:r>
            <w:fldChar w:fldCharType="separate"/>
          </w:r>
          <w:r>
            <w:t>35</w:t>
          </w:r>
          <w:r>
            <w:fldChar w:fldCharType="end"/>
          </w:r>
          <w:r>
            <w:fldChar w:fldCharType="end"/>
          </w:r>
        </w:p>
        <w:p>
          <w:pPr>
            <w:pStyle w:val="32"/>
            <w:tabs>
              <w:tab w:val="right" w:leader="dot" w:pos="8306"/>
            </w:tabs>
            <w:ind w:left="420"/>
          </w:pPr>
          <w:r>
            <w:fldChar w:fldCharType="begin"/>
          </w:r>
          <w:r>
            <w:instrText xml:space="preserve"> HYPERLINK \l "_Toc20266" </w:instrText>
          </w:r>
          <w:r>
            <w:fldChar w:fldCharType="separate"/>
          </w:r>
          <w:r>
            <w:rPr>
              <w:rFonts w:hint="eastAsia" w:ascii="黑体" w:hAnsi="黑体" w:eastAsia="黑体" w:cs="黑体"/>
            </w:rPr>
            <w:t>四、财政拨款收入支出决算总表</w:t>
          </w:r>
          <w:r>
            <w:tab/>
          </w:r>
          <w:r>
            <w:fldChar w:fldCharType="begin"/>
          </w:r>
          <w:r>
            <w:instrText xml:space="preserve"> PAGEREF _Toc20266 \h </w:instrText>
          </w:r>
          <w:r>
            <w:fldChar w:fldCharType="separate"/>
          </w:r>
          <w:r>
            <w:t>35</w:t>
          </w:r>
          <w:r>
            <w:fldChar w:fldCharType="end"/>
          </w:r>
          <w:r>
            <w:fldChar w:fldCharType="end"/>
          </w:r>
        </w:p>
        <w:p>
          <w:pPr>
            <w:pStyle w:val="32"/>
            <w:tabs>
              <w:tab w:val="right" w:leader="dot" w:pos="8306"/>
            </w:tabs>
            <w:ind w:left="420"/>
          </w:pPr>
          <w:r>
            <w:fldChar w:fldCharType="begin"/>
          </w:r>
          <w:r>
            <w:instrText xml:space="preserve"> HYPERLINK \l "_Toc25920" </w:instrText>
          </w:r>
          <w:r>
            <w:fldChar w:fldCharType="separate"/>
          </w:r>
          <w:r>
            <w:rPr>
              <w:rFonts w:hint="eastAsia" w:ascii="黑体" w:hAnsi="黑体" w:eastAsia="黑体" w:cs="黑体"/>
            </w:rPr>
            <w:t>五、财政拨款支出决算明细表</w:t>
          </w:r>
          <w:r>
            <w:tab/>
          </w:r>
          <w:r>
            <w:fldChar w:fldCharType="begin"/>
          </w:r>
          <w:r>
            <w:instrText xml:space="preserve"> PAGEREF _Toc25920 \h </w:instrText>
          </w:r>
          <w:r>
            <w:fldChar w:fldCharType="separate"/>
          </w:r>
          <w:r>
            <w:t>35</w:t>
          </w:r>
          <w:r>
            <w:fldChar w:fldCharType="end"/>
          </w:r>
          <w:r>
            <w:fldChar w:fldCharType="end"/>
          </w:r>
        </w:p>
        <w:p>
          <w:pPr>
            <w:pStyle w:val="32"/>
            <w:tabs>
              <w:tab w:val="right" w:leader="dot" w:pos="8306"/>
            </w:tabs>
            <w:ind w:left="420"/>
          </w:pPr>
          <w:r>
            <w:fldChar w:fldCharType="begin"/>
          </w:r>
          <w:r>
            <w:instrText xml:space="preserve"> HYPERLINK \l "_Toc5570" </w:instrText>
          </w:r>
          <w:r>
            <w:fldChar w:fldCharType="separate"/>
          </w:r>
          <w:r>
            <w:rPr>
              <w:rFonts w:hint="eastAsia" w:ascii="黑体" w:hAnsi="黑体" w:eastAsia="黑体" w:cs="黑体"/>
            </w:rPr>
            <w:t>六、一般公共预算财政拨款支出决算表</w:t>
          </w:r>
          <w:r>
            <w:tab/>
          </w:r>
          <w:r>
            <w:fldChar w:fldCharType="begin"/>
          </w:r>
          <w:r>
            <w:instrText xml:space="preserve"> PAGEREF _Toc5570 \h </w:instrText>
          </w:r>
          <w:r>
            <w:fldChar w:fldCharType="separate"/>
          </w:r>
          <w:r>
            <w:t>35</w:t>
          </w:r>
          <w:r>
            <w:fldChar w:fldCharType="end"/>
          </w:r>
          <w:r>
            <w:fldChar w:fldCharType="end"/>
          </w:r>
        </w:p>
        <w:p>
          <w:pPr>
            <w:pStyle w:val="32"/>
            <w:tabs>
              <w:tab w:val="right" w:leader="dot" w:pos="8306"/>
            </w:tabs>
            <w:ind w:left="420"/>
          </w:pPr>
          <w:r>
            <w:fldChar w:fldCharType="begin"/>
          </w:r>
          <w:r>
            <w:instrText xml:space="preserve"> HYPERLINK \l "_Toc23388" </w:instrText>
          </w:r>
          <w:r>
            <w:fldChar w:fldCharType="separate"/>
          </w:r>
          <w:r>
            <w:rPr>
              <w:rFonts w:hint="eastAsia" w:ascii="黑体" w:hAnsi="黑体" w:eastAsia="黑体" w:cs="黑体"/>
            </w:rPr>
            <w:t>七、一般公共预算财政拨款支出决算明细表</w:t>
          </w:r>
          <w:r>
            <w:tab/>
          </w:r>
          <w:r>
            <w:fldChar w:fldCharType="begin"/>
          </w:r>
          <w:r>
            <w:instrText xml:space="preserve"> PAGEREF _Toc23388 \h </w:instrText>
          </w:r>
          <w:r>
            <w:fldChar w:fldCharType="separate"/>
          </w:r>
          <w:r>
            <w:t>35</w:t>
          </w:r>
          <w:r>
            <w:fldChar w:fldCharType="end"/>
          </w:r>
          <w:r>
            <w:fldChar w:fldCharType="end"/>
          </w:r>
        </w:p>
        <w:p>
          <w:pPr>
            <w:pStyle w:val="32"/>
            <w:tabs>
              <w:tab w:val="right" w:leader="dot" w:pos="8306"/>
            </w:tabs>
            <w:ind w:left="420"/>
          </w:pPr>
          <w:r>
            <w:fldChar w:fldCharType="begin"/>
          </w:r>
          <w:r>
            <w:instrText xml:space="preserve"> HYPERLINK \l "_Toc14043" </w:instrText>
          </w:r>
          <w:r>
            <w:fldChar w:fldCharType="separate"/>
          </w:r>
          <w:r>
            <w:rPr>
              <w:rFonts w:hint="eastAsia" w:ascii="黑体" w:hAnsi="黑体" w:eastAsia="黑体" w:cs="黑体"/>
            </w:rPr>
            <w:t>八、一般公共预算财政拨款基本支出决算表</w:t>
          </w:r>
          <w:r>
            <w:tab/>
          </w:r>
          <w:r>
            <w:fldChar w:fldCharType="begin"/>
          </w:r>
          <w:r>
            <w:instrText xml:space="preserve"> PAGEREF _Toc14043 \h </w:instrText>
          </w:r>
          <w:r>
            <w:fldChar w:fldCharType="separate"/>
          </w:r>
          <w:r>
            <w:t>35</w:t>
          </w:r>
          <w:r>
            <w:fldChar w:fldCharType="end"/>
          </w:r>
          <w:r>
            <w:fldChar w:fldCharType="end"/>
          </w:r>
        </w:p>
        <w:p>
          <w:pPr>
            <w:pStyle w:val="32"/>
            <w:tabs>
              <w:tab w:val="right" w:leader="dot" w:pos="8306"/>
            </w:tabs>
            <w:ind w:left="420"/>
          </w:pPr>
          <w:r>
            <w:fldChar w:fldCharType="begin"/>
          </w:r>
          <w:r>
            <w:instrText xml:space="preserve"> HYPERLINK \l "_Toc19045" </w:instrText>
          </w:r>
          <w:r>
            <w:fldChar w:fldCharType="separate"/>
          </w:r>
          <w:r>
            <w:rPr>
              <w:rFonts w:hint="eastAsia" w:ascii="黑体" w:hAnsi="黑体" w:eastAsia="黑体" w:cs="黑体"/>
            </w:rPr>
            <w:t>九、一般公共预算财政拨款项目支出决算表</w:t>
          </w:r>
          <w:r>
            <w:tab/>
          </w:r>
          <w:r>
            <w:fldChar w:fldCharType="begin"/>
          </w:r>
          <w:r>
            <w:instrText xml:space="preserve"> PAGEREF _Toc19045 \h </w:instrText>
          </w:r>
          <w:r>
            <w:fldChar w:fldCharType="separate"/>
          </w:r>
          <w:r>
            <w:t>35</w:t>
          </w:r>
          <w:r>
            <w:fldChar w:fldCharType="end"/>
          </w:r>
          <w:r>
            <w:fldChar w:fldCharType="end"/>
          </w:r>
        </w:p>
        <w:p>
          <w:pPr>
            <w:pStyle w:val="32"/>
            <w:tabs>
              <w:tab w:val="right" w:leader="dot" w:pos="8306"/>
            </w:tabs>
            <w:ind w:left="420"/>
          </w:pPr>
          <w:r>
            <w:fldChar w:fldCharType="begin"/>
          </w:r>
          <w:r>
            <w:instrText xml:space="preserve"> HYPERLINK \l "_Toc23782" </w:instrText>
          </w:r>
          <w:r>
            <w:fldChar w:fldCharType="separate"/>
          </w:r>
          <w:r>
            <w:rPr>
              <w:rFonts w:hint="eastAsia" w:ascii="黑体" w:hAnsi="黑体" w:eastAsia="黑体" w:cs="黑体"/>
            </w:rPr>
            <w:t>十、一般公共预算财政拨款“三公”经费支出决算表</w:t>
          </w:r>
          <w:r>
            <w:tab/>
          </w:r>
          <w:r>
            <w:fldChar w:fldCharType="begin"/>
          </w:r>
          <w:r>
            <w:instrText xml:space="preserve"> PAGEREF _Toc23782 \h </w:instrText>
          </w:r>
          <w:r>
            <w:fldChar w:fldCharType="separate"/>
          </w:r>
          <w:r>
            <w:t>35</w:t>
          </w:r>
          <w:r>
            <w:fldChar w:fldCharType="end"/>
          </w:r>
          <w:r>
            <w:fldChar w:fldCharType="end"/>
          </w:r>
        </w:p>
        <w:p>
          <w:pPr>
            <w:pStyle w:val="32"/>
            <w:tabs>
              <w:tab w:val="right" w:leader="dot" w:pos="8306"/>
            </w:tabs>
            <w:ind w:left="420"/>
          </w:pPr>
          <w:r>
            <w:fldChar w:fldCharType="begin"/>
          </w:r>
          <w:r>
            <w:instrText xml:space="preserve"> HYPERLINK \l "_Toc16505" </w:instrText>
          </w:r>
          <w:r>
            <w:fldChar w:fldCharType="separate"/>
          </w:r>
          <w:r>
            <w:rPr>
              <w:rFonts w:hint="eastAsia" w:ascii="黑体" w:hAnsi="黑体" w:eastAsia="黑体" w:cs="黑体"/>
            </w:rPr>
            <w:t>十一、政府性基金预算财政拨款收入支出决算表</w:t>
          </w:r>
          <w:r>
            <w:tab/>
          </w:r>
          <w:r>
            <w:fldChar w:fldCharType="begin"/>
          </w:r>
          <w:r>
            <w:instrText xml:space="preserve"> PAGEREF _Toc16505 \h </w:instrText>
          </w:r>
          <w:r>
            <w:fldChar w:fldCharType="separate"/>
          </w:r>
          <w:r>
            <w:t>35</w:t>
          </w:r>
          <w:r>
            <w:fldChar w:fldCharType="end"/>
          </w:r>
          <w:r>
            <w:fldChar w:fldCharType="end"/>
          </w:r>
        </w:p>
        <w:p>
          <w:pPr>
            <w:pStyle w:val="32"/>
            <w:tabs>
              <w:tab w:val="right" w:leader="dot" w:pos="8306"/>
            </w:tabs>
            <w:ind w:left="420"/>
          </w:pPr>
          <w:r>
            <w:fldChar w:fldCharType="begin"/>
          </w:r>
          <w:r>
            <w:instrText xml:space="preserve"> HYPERLINK \l "_Toc32044" </w:instrText>
          </w:r>
          <w:r>
            <w:fldChar w:fldCharType="separate"/>
          </w:r>
          <w:r>
            <w:rPr>
              <w:rFonts w:hint="eastAsia" w:ascii="黑体" w:hAnsi="黑体" w:eastAsia="黑体" w:cs="黑体"/>
            </w:rPr>
            <w:t>十二、政府性基金预算财政拨款“三公”经费支出决算表</w:t>
          </w:r>
          <w:r>
            <w:tab/>
          </w:r>
          <w:r>
            <w:fldChar w:fldCharType="begin"/>
          </w:r>
          <w:r>
            <w:instrText xml:space="preserve"> PAGEREF _Toc32044 \h </w:instrText>
          </w:r>
          <w:r>
            <w:fldChar w:fldCharType="separate"/>
          </w:r>
          <w:r>
            <w:t>35</w:t>
          </w:r>
          <w:r>
            <w:fldChar w:fldCharType="end"/>
          </w:r>
          <w:r>
            <w:fldChar w:fldCharType="end"/>
          </w:r>
        </w:p>
        <w:p>
          <w:pPr>
            <w:pStyle w:val="32"/>
            <w:tabs>
              <w:tab w:val="right" w:leader="dot" w:pos="8306"/>
            </w:tabs>
            <w:ind w:left="420"/>
          </w:pPr>
          <w:r>
            <w:fldChar w:fldCharType="begin"/>
          </w:r>
          <w:r>
            <w:instrText xml:space="preserve"> HYPERLINK \l "_Toc9916" </w:instrText>
          </w:r>
          <w:r>
            <w:fldChar w:fldCharType="separate"/>
          </w:r>
          <w:r>
            <w:rPr>
              <w:rFonts w:hint="eastAsia" w:ascii="黑体" w:hAnsi="黑体" w:eastAsia="黑体" w:cs="黑体"/>
            </w:rPr>
            <w:t>十三、国有资本经营预算财政拨款收入支出决算表</w:t>
          </w:r>
          <w:r>
            <w:tab/>
          </w:r>
          <w:r>
            <w:fldChar w:fldCharType="begin"/>
          </w:r>
          <w:r>
            <w:instrText xml:space="preserve"> PAGEREF _Toc9916 \h </w:instrText>
          </w:r>
          <w:r>
            <w:fldChar w:fldCharType="separate"/>
          </w:r>
          <w:r>
            <w:t>35</w:t>
          </w:r>
          <w:r>
            <w:fldChar w:fldCharType="end"/>
          </w:r>
          <w:r>
            <w:fldChar w:fldCharType="end"/>
          </w:r>
        </w:p>
        <w:p>
          <w:pPr>
            <w:rPr>
              <w:rFonts w:ascii="黑体" w:hAnsi="黑体" w:eastAsia="黑体"/>
            </w:rPr>
            <w:sectPr>
              <w:footerReference r:id="rId6" w:type="first"/>
              <w:footerReference r:id="rId5" w:type="default"/>
              <w:pgSz w:w="11906" w:h="16838"/>
              <w:pgMar w:top="1440" w:right="1800" w:bottom="1383" w:left="1800" w:header="851" w:footer="992" w:gutter="0"/>
              <w:pgNumType w:start="1"/>
              <w:cols w:space="425" w:num="1"/>
              <w:docGrid w:type="lines" w:linePitch="312" w:charSpace="0"/>
            </w:sectPr>
          </w:pPr>
          <w:r>
            <w:rPr>
              <w:rFonts w:hint="eastAsia" w:ascii="黑体" w:hAnsi="黑体" w:eastAsia="黑体"/>
              <w:b/>
            </w:rPr>
            <w:fldChar w:fldCharType="end"/>
          </w:r>
        </w:p>
      </w:sdtContent>
    </w:sdt>
    <w:p>
      <w:pPr>
        <w:pStyle w:val="2"/>
        <w:spacing w:before="93"/>
      </w:pPr>
    </w:p>
    <w:p>
      <w:pPr>
        <w:pStyle w:val="4"/>
        <w:spacing w:before="0" w:after="0" w:line="240" w:lineRule="auto"/>
        <w:ind w:firstLine="2200" w:firstLineChars="500"/>
        <w:rPr>
          <w:rStyle w:val="25"/>
          <w:rFonts w:ascii="黑体" w:hAnsi="黑体" w:eastAsia="黑体"/>
          <w:b/>
          <w:bCs w:val="0"/>
        </w:rPr>
      </w:pPr>
      <w:bookmarkStart w:id="15" w:name="_Toc13422"/>
      <w:r>
        <w:rPr>
          <w:rFonts w:hint="eastAsia" w:ascii="黑体" w:hAnsi="黑体" w:eastAsia="黑体"/>
          <w:b w:val="0"/>
        </w:rPr>
        <w:t>第一部分 单位</w:t>
      </w:r>
      <w:r>
        <w:rPr>
          <w:rStyle w:val="25"/>
          <w:rFonts w:hint="eastAsia" w:ascii="黑体" w:hAnsi="黑体" w:eastAsia="黑体"/>
          <w:b w:val="0"/>
          <w:bCs w:val="0"/>
        </w:rPr>
        <w:t>概况</w:t>
      </w:r>
      <w:bookmarkEnd w:id="15"/>
    </w:p>
    <w:p>
      <w:pPr>
        <w:pStyle w:val="5"/>
        <w:numPr>
          <w:ilvl w:val="255"/>
          <w:numId w:val="0"/>
        </w:numPr>
        <w:ind w:firstLine="642" w:firstLineChars="200"/>
        <w:rPr>
          <w:rStyle w:val="26"/>
          <w:rFonts w:ascii="黑体" w:hAnsi="黑体" w:eastAsia="黑体"/>
          <w:b/>
          <w:bCs/>
        </w:rPr>
      </w:pPr>
      <w:bookmarkStart w:id="16" w:name="_Toc13850"/>
      <w:bookmarkStart w:id="17" w:name="_Toc15377197"/>
      <w:bookmarkStart w:id="18" w:name="_Toc15396600"/>
      <w:r>
        <w:rPr>
          <w:rStyle w:val="26"/>
          <w:rFonts w:hint="eastAsia" w:ascii="黑体" w:hAnsi="黑体" w:eastAsia="黑体"/>
          <w:b/>
          <w:bCs/>
        </w:rPr>
        <w:t>一、职能简介</w:t>
      </w:r>
      <w:bookmarkEnd w:id="16"/>
    </w:p>
    <w:p>
      <w:pPr>
        <w:ind w:firstLine="640" w:firstLineChars="200"/>
        <w:rPr>
          <w:rFonts w:ascii="仿宋" w:hAnsi="仿宋" w:eastAsia="仿宋" w:cs="仿宋"/>
          <w:sz w:val="32"/>
          <w:szCs w:val="32"/>
        </w:rPr>
      </w:pPr>
      <w:r>
        <w:rPr>
          <w:rFonts w:hint="eastAsia" w:ascii="仿宋" w:hAnsi="仿宋" w:eastAsia="仿宋" w:cs="仿宋"/>
          <w:sz w:val="32"/>
          <w:szCs w:val="32"/>
        </w:rPr>
        <w:t>四川商务职业学院是经省人民政府批准成立、直属省商务厅的公办全日制普通高等学校，是四川省唯一的商科高职院校，是四川省重要的现代商务高素质开放式应用型人才培养基地。学院创建于1907年，2004年经省人民政府批准，四川省商业学校（国家级重点中专）与四川省对外经济贸易学校（省部级重点中专）合并组建为四川商务职业学院。</w:t>
      </w:r>
    </w:p>
    <w:p>
      <w:pPr>
        <w:ind w:firstLine="640" w:firstLineChars="200"/>
        <w:rPr>
          <w:rFonts w:ascii="仿宋" w:hAnsi="仿宋" w:eastAsia="仿宋" w:cs="仿宋"/>
          <w:sz w:val="32"/>
          <w:szCs w:val="32"/>
        </w:rPr>
      </w:pPr>
      <w:r>
        <w:rPr>
          <w:rFonts w:hint="eastAsia" w:ascii="仿宋" w:hAnsi="仿宋" w:eastAsia="仿宋" w:cs="仿宋"/>
          <w:sz w:val="32"/>
          <w:szCs w:val="32"/>
        </w:rPr>
        <w:t>学院现有文家校区、和盛校区两个校区，总占地面积</w:t>
      </w:r>
      <w:r>
        <w:rPr>
          <w:rFonts w:hint="eastAsia" w:ascii="仿宋" w:hAnsi="仿宋" w:eastAsia="仿宋" w:cs="仿宋"/>
          <w:color w:val="000000"/>
          <w:sz w:val="32"/>
          <w:szCs w:val="32"/>
        </w:rPr>
        <w:t>290835平方米。</w:t>
      </w:r>
      <w:r>
        <w:rPr>
          <w:rFonts w:hint="eastAsia" w:ascii="仿宋" w:hAnsi="仿宋" w:eastAsia="仿宋" w:cs="仿宋"/>
          <w:sz w:val="32"/>
          <w:szCs w:val="32"/>
        </w:rPr>
        <w:t>设有经营管理系、经济贸易系、会计系、旅游管理系、信息技术系、设计艺术系、人文社科部、思政教学部、实践教学中心、继续教育中心和国际教育合作交流中心，开设专科专业34个。学院在长期的办学历程中，遵循高等职业教育和学生成长发展规律，秉承“学无涯 商有道”的校训精神，以“为党育人、为国育才，办人民满意教育”为根本宗旨，以培养商科类高素质技术技能型复合人才为根本目标，</w:t>
      </w:r>
      <w:r>
        <w:rPr>
          <w:rFonts w:hint="eastAsia" w:ascii="仿宋" w:hAnsi="仿宋" w:eastAsia="仿宋" w:cs="仿宋"/>
          <w:color w:val="000000"/>
          <w:kern w:val="0"/>
          <w:sz w:val="32"/>
          <w:szCs w:val="32"/>
        </w:rPr>
        <w:t>以四川省4+6现代服务业产业体系为依托，</w:t>
      </w:r>
      <w:r>
        <w:rPr>
          <w:rFonts w:hint="eastAsia" w:ascii="仿宋" w:hAnsi="仿宋" w:eastAsia="仿宋" w:cs="仿宋"/>
          <w:sz w:val="32"/>
          <w:szCs w:val="32"/>
        </w:rPr>
        <w:t>积极贯彻落实国家战略，主动对接成渝地区建设具有全国影响力的重要经济中心、科技创新中心、改革开放新高地、高品质生活宜居地的战略部署目标和总体要求，进一步凝练和明确重点工作内容，集聚创新要素，主动有为、有所作为，以服务创新和人才支持为成渝地区双城经济圈建设赋能。</w:t>
      </w:r>
    </w:p>
    <w:p>
      <w:pPr>
        <w:ind w:firstLine="640" w:firstLineChars="200"/>
        <w:rPr>
          <w:rFonts w:ascii="仿宋" w:hAnsi="仿宋" w:eastAsia="仿宋" w:cs="仿宋"/>
          <w:sz w:val="32"/>
          <w:szCs w:val="32"/>
        </w:rPr>
      </w:pPr>
      <w:r>
        <w:rPr>
          <w:rFonts w:hint="eastAsia" w:ascii="仿宋" w:hAnsi="仿宋" w:eastAsia="仿宋" w:cs="仿宋"/>
          <w:sz w:val="32"/>
          <w:szCs w:val="32"/>
        </w:rPr>
        <w:t>学院现有全日制学历教育在校生数10571人，其中全日制普通高职学历教育在校生10185人。</w:t>
      </w:r>
    </w:p>
    <w:p>
      <w:pPr>
        <w:pStyle w:val="5"/>
        <w:ind w:firstLine="642" w:firstLineChars="200"/>
        <w:rPr>
          <w:rFonts w:ascii="黑体" w:hAnsi="黑体" w:eastAsia="黑体"/>
          <w:bCs w:val="0"/>
        </w:rPr>
      </w:pPr>
      <w:bookmarkStart w:id="19" w:name="_Toc7983"/>
      <w:r>
        <w:rPr>
          <w:rFonts w:hint="eastAsia" w:ascii="黑体" w:hAnsi="黑体" w:eastAsia="黑体"/>
          <w:bCs w:val="0"/>
        </w:rPr>
        <w:t>二、2021年重点工作</w:t>
      </w:r>
      <w:bookmarkEnd w:id="17"/>
      <w:bookmarkEnd w:id="18"/>
      <w:r>
        <w:rPr>
          <w:rFonts w:hint="eastAsia" w:ascii="黑体" w:hAnsi="黑体" w:eastAsia="黑体"/>
          <w:bCs w:val="0"/>
        </w:rPr>
        <w:t>完成情况</w:t>
      </w:r>
      <w:bookmarkEnd w:id="19"/>
    </w:p>
    <w:p>
      <w:pPr>
        <w:ind w:firstLine="642" w:firstLineChars="200"/>
        <w:rPr>
          <w:rFonts w:ascii="仿宋" w:hAnsi="仿宋" w:eastAsia="仿宋" w:cs="仿宋"/>
          <w:bCs/>
          <w:sz w:val="32"/>
          <w:szCs w:val="32"/>
        </w:rPr>
      </w:pPr>
      <w:r>
        <w:rPr>
          <w:rFonts w:hint="eastAsia" w:ascii="楷体_GB2312" w:hAnsi="楷体_GB2312" w:eastAsia="楷体_GB2312" w:cs="楷体_GB2312"/>
          <w:b/>
          <w:sz w:val="32"/>
          <w:szCs w:val="32"/>
        </w:rPr>
        <w:t>（一）内涵建设取得成果。</w:t>
      </w:r>
      <w:r>
        <w:rPr>
          <w:rFonts w:hint="eastAsia" w:ascii="仿宋" w:hAnsi="仿宋" w:eastAsia="仿宋" w:cs="仿宋"/>
          <w:bCs/>
          <w:sz w:val="32"/>
          <w:szCs w:val="32"/>
        </w:rPr>
        <w:t>以市场需求为导向，动态调整专业结构，新增数字媒体技术、云计算技术应用2个专业，申报智慧健康养老服务、管理和营养配餐2个专业，构建了市场营销、大数据分析、智慧财金、数字艺术、文体旅五个专业群和烹饪营养与工艺特色专业。推进完成学院“提质培优”计划，完成了22个任务28个项目的年度绩效采集工作，获批省级“课程思政”示范课程3门、省级教学成果二等奖4项。推进职业技能竞赛活动，成功承办市场营销、“互联网+”国际贸易、电子商务三项省赛，学生参加全国、全省职业院校技能大赛获得省级以上专业竞赛奖励147人次，其中，国家级二等奖3项；省级一等奖7项，二等奖21项。</w:t>
      </w:r>
    </w:p>
    <w:p>
      <w:pPr>
        <w:ind w:firstLine="642" w:firstLineChars="200"/>
        <w:rPr>
          <w:rFonts w:ascii="仿宋" w:hAnsi="仿宋" w:eastAsia="仿宋" w:cs="仿宋"/>
          <w:bCs/>
          <w:sz w:val="32"/>
          <w:szCs w:val="32"/>
        </w:rPr>
      </w:pPr>
      <w:r>
        <w:rPr>
          <w:rFonts w:hint="eastAsia" w:ascii="楷体_GB2312" w:hAnsi="楷体_GB2312" w:eastAsia="楷体_GB2312" w:cs="楷体_GB2312"/>
          <w:b/>
          <w:sz w:val="32"/>
          <w:szCs w:val="32"/>
        </w:rPr>
        <w:t>（二）产教融合持续推进。</w:t>
      </w:r>
      <w:r>
        <w:rPr>
          <w:rFonts w:hint="eastAsia" w:ascii="仿宋" w:hAnsi="仿宋" w:eastAsia="仿宋" w:cs="仿宋"/>
          <w:bCs/>
          <w:sz w:val="32"/>
          <w:szCs w:val="32"/>
        </w:rPr>
        <w:t>深入落实国家职业教育改革实施方案，大力加强产教融合、校企合作，创新“三主体”产教融合，实施“1+1+1”建设模式。“1+X”证书新增9个共26个证书，被教育厅指定为商业贸易类1+X证书联盟牵头单位，今年共有17个证书1605名学生参加了培训考试。推动校企共建校内外生产性实训基地、技能大师工作室、创业教育实践平台等，与天猫合作建成商业贸易生产性实训基地，建立“英才班”“精英班”“店长班”，重构工学结合的人才培养体系。</w:t>
      </w:r>
    </w:p>
    <w:p>
      <w:pPr>
        <w:ind w:firstLine="642" w:firstLineChars="200"/>
        <w:rPr>
          <w:rFonts w:ascii="仿宋" w:hAnsi="仿宋" w:eastAsia="仿宋" w:cs="仿宋"/>
          <w:bCs/>
          <w:sz w:val="32"/>
          <w:szCs w:val="32"/>
        </w:rPr>
      </w:pPr>
      <w:r>
        <w:rPr>
          <w:rFonts w:hint="eastAsia" w:ascii="楷体_GB2312" w:hAnsi="楷体_GB2312" w:eastAsia="楷体_GB2312" w:cs="楷体_GB2312"/>
          <w:b/>
          <w:sz w:val="32"/>
          <w:szCs w:val="32"/>
        </w:rPr>
        <w:t>（三）学生工作成效显著。</w:t>
      </w:r>
      <w:r>
        <w:rPr>
          <w:rFonts w:hint="eastAsia" w:ascii="仿宋" w:hAnsi="仿宋" w:eastAsia="仿宋" w:cs="仿宋"/>
          <w:bCs/>
          <w:sz w:val="32"/>
          <w:szCs w:val="32"/>
        </w:rPr>
        <w:t>2020年录取各类新生4733人，在校生人数达到10558人。充分利用网络平台和资源，采取拓宽渠道、优化服务等措施，发布30多批次就业政策、就业信息1400余条、近3万个就业岗位，海量信息助力就业，2021届毕业生初次就业率达到95.84%。注重扶贫扶智扶志相结合，多渠道、多途径做好资助帮扶，</w:t>
      </w:r>
      <w:r>
        <w:rPr>
          <w:rFonts w:hint="eastAsia" w:ascii="仿宋" w:hAnsi="仿宋" w:eastAsia="仿宋" w:cs="仿宋"/>
          <w:bCs/>
          <w:color w:val="000000"/>
          <w:sz w:val="32"/>
          <w:szCs w:val="32"/>
        </w:rPr>
        <w:t>共发放国家助学金509万元，惠及3085名家庭经济困难学生，为22名特别困难学生减免学费7万余元；开展六类就业困难学生就业帮扶共1008人、帮扶资金131.49万元。</w:t>
      </w:r>
    </w:p>
    <w:p>
      <w:pPr>
        <w:ind w:firstLine="642" w:firstLineChars="200"/>
        <w:rPr>
          <w:rFonts w:ascii="仿宋" w:hAnsi="仿宋" w:eastAsia="仿宋" w:cs="仿宋"/>
          <w:bCs/>
          <w:sz w:val="32"/>
          <w:szCs w:val="32"/>
        </w:rPr>
      </w:pPr>
      <w:r>
        <w:rPr>
          <w:rFonts w:hint="eastAsia" w:ascii="楷体_GB2312" w:hAnsi="楷体_GB2312" w:eastAsia="楷体_GB2312" w:cs="楷体_GB2312"/>
          <w:b/>
          <w:sz w:val="32"/>
          <w:szCs w:val="32"/>
        </w:rPr>
        <w:t>（四）教师素质能力不断提升。</w:t>
      </w:r>
      <w:r>
        <w:rPr>
          <w:rFonts w:hint="eastAsia" w:ascii="仿宋" w:hAnsi="仿宋" w:eastAsia="仿宋" w:cs="仿宋"/>
          <w:bCs/>
          <w:sz w:val="32"/>
          <w:szCs w:val="32"/>
        </w:rPr>
        <w:t>按照新时代教师新标准和职业教育“三教”改革新要求，面向专任教师开展培训，参加各项培训的专任教师共计500余人次、企业实践38人次。组织开展培训项目7个，参训人员达267人次。教师教学能力进一步提升，荣获全国高等学校外语课程思政教学比赛二等奖1个，四川省教师教学能力大赛二等奖1个、三等奖2个，“导航名师”一等奖1个，高校思想政治理论课“精彩一课”一等奖2个、二等奖1个，全省辅导员职业大赛优秀奖1个。</w:t>
      </w:r>
    </w:p>
    <w:p>
      <w:pPr>
        <w:ind w:firstLine="642" w:firstLineChars="200"/>
        <w:rPr>
          <w:rFonts w:ascii="仿宋" w:hAnsi="仿宋" w:eastAsia="仿宋" w:cs="仿宋"/>
          <w:bCs/>
          <w:sz w:val="32"/>
          <w:szCs w:val="32"/>
        </w:rPr>
      </w:pPr>
      <w:r>
        <w:rPr>
          <w:rFonts w:hint="eastAsia" w:ascii="楷体_GB2312" w:hAnsi="楷体_GB2312" w:eastAsia="楷体_GB2312" w:cs="楷体_GB2312"/>
          <w:b/>
          <w:sz w:val="32"/>
          <w:szCs w:val="32"/>
        </w:rPr>
        <w:t>（五）教学科研水平有所提升。</w:t>
      </w:r>
      <w:r>
        <w:rPr>
          <w:rFonts w:hint="eastAsia" w:ascii="仿宋" w:hAnsi="仿宋" w:eastAsia="仿宋" w:cs="仿宋"/>
          <w:bCs/>
          <w:sz w:val="32"/>
          <w:szCs w:val="32"/>
        </w:rPr>
        <w:t>2021年发表论文69篇，组织申报校内外各级各类课题80余项，省级课题立项8项、结题6项，院级课题共结题20项，横向课题结题2项，教研项目立项57项、结题21项完，成了“基于产教融合的高职院校学生专业能力与行业需求匹配度提升的研究报告”。通过各级各类课题的申报与结题，学院教师研究能力水平有所提升。</w:t>
      </w:r>
    </w:p>
    <w:p>
      <w:pPr>
        <w:ind w:firstLine="642" w:firstLineChars="200"/>
        <w:rPr>
          <w:rFonts w:ascii="仿宋" w:hAnsi="仿宋" w:eastAsia="仿宋" w:cs="仿宋"/>
          <w:bCs/>
          <w:sz w:val="32"/>
          <w:szCs w:val="32"/>
        </w:rPr>
      </w:pPr>
      <w:r>
        <w:rPr>
          <w:rFonts w:hint="eastAsia" w:ascii="楷体_GB2312" w:hAnsi="楷体_GB2312" w:eastAsia="楷体_GB2312" w:cs="楷体_GB2312"/>
          <w:b/>
          <w:sz w:val="32"/>
          <w:szCs w:val="32"/>
        </w:rPr>
        <w:t>（六）社会服务能力持续增强。</w:t>
      </w:r>
      <w:r>
        <w:rPr>
          <w:rFonts w:hint="eastAsia" w:ascii="仿宋" w:hAnsi="仿宋" w:eastAsia="仿宋" w:cs="仿宋"/>
          <w:bCs/>
          <w:sz w:val="32"/>
          <w:szCs w:val="32"/>
        </w:rPr>
        <w:t>坚持以服务求生存，以贡献求发展，不断丰富和完善职业教育培训体系。2021年落实过渡期“四个不摘”要求，召开党委会研究乡村振兴工作5次、专题会议3次，新一轮驻村帮扶干部调整轮换，积极开展乡村振兴培训服务，为凉山州、金阳县、邻水县、北川县进行电子商务、普通话、乡村旅游等专项培训，学院荣获省委教育工委、省教育厅脱贫攻坚集体嘉奖。此外，还为空军部队组织厨师培训培养军地两用人才，为锦江区举办了“味蕾饕餮秀”餐饮员工综合技能提升培训等，全年培训1553人次，实现收入近百万，比去年有较大幅度增长。</w:t>
      </w:r>
    </w:p>
    <w:p>
      <w:pPr>
        <w:pStyle w:val="5"/>
        <w:ind w:firstLine="642" w:firstLineChars="200"/>
        <w:rPr>
          <w:rFonts w:ascii="黑体" w:hAnsi="黑体" w:eastAsia="黑体"/>
          <w:bCs w:val="0"/>
          <w:highlight w:val="none"/>
        </w:rPr>
      </w:pPr>
      <w:bookmarkStart w:id="20" w:name="_Toc4435"/>
      <w:r>
        <w:rPr>
          <w:rFonts w:hint="eastAsia" w:ascii="黑体" w:hAnsi="黑体" w:eastAsia="黑体"/>
          <w:bCs w:val="0"/>
          <w:highlight w:val="none"/>
        </w:rPr>
        <w:t>三、机构设置情况</w:t>
      </w:r>
      <w:bookmarkEnd w:id="20"/>
    </w:p>
    <w:p>
      <w:pPr>
        <w:widowControl/>
        <w:ind w:firstLine="640" w:firstLineChars="200"/>
        <w:jc w:val="left"/>
        <w:rPr>
          <w:rFonts w:ascii="仿宋" w:hAnsi="仿宋" w:eastAsia="仿宋" w:cs="仿宋"/>
          <w:kern w:val="0"/>
          <w:sz w:val="32"/>
          <w:szCs w:val="32"/>
        </w:rPr>
      </w:pPr>
      <w:r>
        <w:rPr>
          <w:rFonts w:hint="eastAsia" w:ascii="仿宋" w:hAnsi="仿宋" w:eastAsia="仿宋" w:cs="仿宋"/>
          <w:bCs/>
          <w:sz w:val="32"/>
          <w:szCs w:val="32"/>
        </w:rPr>
        <w:t>四川商务职业学院由25个内设部门组成，分别是：党政办公室、</w:t>
      </w:r>
      <w:r>
        <w:rPr>
          <w:rFonts w:hint="eastAsia" w:ascii="仿宋" w:hAnsi="仿宋" w:eastAsia="仿宋" w:cs="仿宋"/>
          <w:color w:val="000000"/>
          <w:kern w:val="0"/>
          <w:sz w:val="31"/>
          <w:szCs w:val="31"/>
          <w:lang w:bidi="ar"/>
        </w:rPr>
        <w:t>质量管理</w:t>
      </w:r>
      <w:r>
        <w:rPr>
          <w:rFonts w:hint="eastAsia" w:ascii="仿宋" w:hAnsi="仿宋" w:eastAsia="仿宋" w:cs="仿宋"/>
          <w:bCs/>
          <w:sz w:val="32"/>
          <w:szCs w:val="32"/>
        </w:rPr>
        <w:t>办公室、财务资产管理处、后勤保卫处、工会、经济贸易系、经营管理系、会计系、旅游管理系、信息技术系、设计艺术系、党委组织部、人文社科部、思想政治教学部、图书馆、实践教学中心、继续教育中心、国际教育合作与交流中心、党委宣传统战部、党委学生工作部（处）（团委）、纪检监察审计处、人事处、教务处、招生就业处以及科研处。</w:t>
      </w:r>
    </w:p>
    <w:p>
      <w:pPr>
        <w:pStyle w:val="4"/>
        <w:ind w:right="440"/>
        <w:rPr>
          <w:rFonts w:ascii="黑体" w:hAnsi="黑体" w:eastAsia="黑体"/>
          <w:bCs w:val="0"/>
        </w:rPr>
      </w:pPr>
      <w:bookmarkStart w:id="21" w:name="_Toc15377204"/>
      <w:bookmarkStart w:id="22" w:name="_Toc15396602"/>
    </w:p>
    <w:p>
      <w:pPr>
        <w:ind w:right="440"/>
        <w:jc w:val="center"/>
        <w:rPr>
          <w:rFonts w:ascii="黑体" w:hAnsi="黑体" w:eastAsia="黑体"/>
        </w:rPr>
      </w:pPr>
      <w:r>
        <w:rPr>
          <w:rFonts w:hint="eastAsia" w:ascii="黑体" w:hAnsi="黑体" w:eastAsia="黑体"/>
        </w:rPr>
        <w:br w:type="page"/>
      </w:r>
    </w:p>
    <w:p>
      <w:pPr>
        <w:pStyle w:val="4"/>
        <w:ind w:right="440"/>
        <w:jc w:val="center"/>
        <w:rPr>
          <w:rStyle w:val="25"/>
          <w:rFonts w:ascii="黑体" w:hAnsi="黑体" w:eastAsia="黑体"/>
          <w:b w:val="0"/>
          <w:bCs/>
        </w:rPr>
      </w:pPr>
      <w:bookmarkStart w:id="23" w:name="_Toc2995"/>
      <w:r>
        <w:rPr>
          <w:rFonts w:hint="eastAsia" w:ascii="黑体" w:hAnsi="黑体" w:eastAsia="黑体"/>
          <w:b w:val="0"/>
        </w:rPr>
        <w:t>第二部分 2021年度</w:t>
      </w:r>
      <w:r>
        <w:rPr>
          <w:rStyle w:val="25"/>
          <w:rFonts w:hint="eastAsia" w:ascii="黑体" w:hAnsi="黑体" w:eastAsia="黑体"/>
          <w:b w:val="0"/>
          <w:bCs/>
        </w:rPr>
        <w:t>单位决算情况说明</w:t>
      </w:r>
      <w:bookmarkEnd w:id="21"/>
      <w:bookmarkEnd w:id="22"/>
      <w:bookmarkEnd w:id="23"/>
    </w:p>
    <w:p>
      <w:pPr>
        <w:pStyle w:val="24"/>
        <w:numPr>
          <w:ilvl w:val="255"/>
          <w:numId w:val="0"/>
        </w:numPr>
        <w:spacing w:line="600" w:lineRule="exact"/>
        <w:ind w:left="640"/>
        <w:outlineLvl w:val="1"/>
        <w:rPr>
          <w:rStyle w:val="26"/>
          <w:rFonts w:ascii="黑体" w:hAnsi="黑体" w:eastAsia="黑体"/>
        </w:rPr>
      </w:pPr>
      <w:bookmarkStart w:id="24" w:name="_Toc15396603"/>
      <w:bookmarkStart w:id="25" w:name="_Toc15377205"/>
      <w:bookmarkStart w:id="26" w:name="_Toc24415"/>
      <w:r>
        <w:rPr>
          <w:rFonts w:hint="eastAsia" w:ascii="黑体" w:hAnsi="黑体" w:eastAsia="黑体"/>
          <w:b/>
          <w:bCs/>
          <w:sz w:val="32"/>
          <w:szCs w:val="32"/>
        </w:rPr>
        <w:t>一、收</w:t>
      </w:r>
      <w:r>
        <w:rPr>
          <w:rStyle w:val="26"/>
          <w:rFonts w:hint="eastAsia" w:ascii="黑体" w:hAnsi="黑体" w:eastAsia="黑体"/>
        </w:rPr>
        <w:t>入支出决算总体情况说明</w:t>
      </w:r>
      <w:bookmarkEnd w:id="24"/>
      <w:bookmarkEnd w:id="25"/>
      <w:bookmarkEnd w:id="26"/>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2021年度收、支总计14584.29万元。与2020年相比，收、支总计各增加28.89万元，上升0.2%。主要变动原因是财政拨款收入比去年增加614.87万元，专户资金减少667.37万元，其他收入增加31.13万元，使用非财政拨款结余50.26万元。</w:t>
      </w:r>
    </w:p>
    <w:p>
      <w:pPr>
        <w:pStyle w:val="2"/>
        <w:spacing w:before="93"/>
      </w:pPr>
      <w:r>
        <w:drawing>
          <wp:inline distT="0" distB="0" distL="114300" distR="114300">
            <wp:extent cx="5019675" cy="2571750"/>
            <wp:effectExtent l="4445" t="4445" r="5080" b="14605"/>
            <wp:docPr id="105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pStyle w:val="24"/>
        <w:numPr>
          <w:ilvl w:val="255"/>
          <w:numId w:val="0"/>
        </w:numPr>
        <w:spacing w:line="600" w:lineRule="exact"/>
        <w:ind w:left="640"/>
        <w:outlineLvl w:val="1"/>
        <w:rPr>
          <w:rStyle w:val="26"/>
          <w:rFonts w:ascii="黑体" w:hAnsi="黑体" w:eastAsia="黑体"/>
        </w:rPr>
      </w:pPr>
      <w:bookmarkStart w:id="27" w:name="_Toc15396604"/>
      <w:bookmarkStart w:id="28" w:name="_Toc15457"/>
      <w:bookmarkStart w:id="29" w:name="_Toc15377206"/>
      <w:r>
        <w:rPr>
          <w:rFonts w:hint="eastAsia" w:ascii="黑体" w:hAnsi="黑体" w:eastAsia="黑体"/>
          <w:b/>
          <w:bCs/>
          <w:sz w:val="32"/>
          <w:szCs w:val="32"/>
        </w:rPr>
        <w:t>二、收</w:t>
      </w:r>
      <w:r>
        <w:rPr>
          <w:rStyle w:val="26"/>
          <w:rFonts w:hint="eastAsia" w:ascii="黑体" w:hAnsi="黑体" w:eastAsia="黑体"/>
        </w:rPr>
        <w:t>入决算情况说明</w:t>
      </w:r>
      <w:bookmarkEnd w:id="27"/>
      <w:bookmarkEnd w:id="28"/>
      <w:bookmarkEnd w:id="29"/>
    </w:p>
    <w:p>
      <w:pPr>
        <w:spacing w:line="600" w:lineRule="exact"/>
        <w:ind w:firstLine="640" w:firstLineChars="200"/>
        <w:outlineLvl w:val="1"/>
        <w:rPr>
          <w:rFonts w:ascii="仿宋" w:hAnsi="仿宋" w:eastAsia="仿宋" w:cs="仿宋"/>
          <w:sz w:val="32"/>
          <w:szCs w:val="32"/>
        </w:rPr>
      </w:pPr>
      <w:bookmarkStart w:id="30" w:name="_Toc31732"/>
      <w:r>
        <w:rPr>
          <w:rFonts w:hint="eastAsia" w:ascii="仿宋" w:hAnsi="仿宋" w:eastAsia="仿宋" w:cs="仿宋"/>
          <w:sz w:val="32"/>
          <w:szCs w:val="32"/>
        </w:rPr>
        <w:t>2021年本年收入合计14534.03万元，其中：一般公共预算财政拨款收入11878.45万元，占81.73%；政府性基金预算财政拨款收入0万元，占0%；国有资本经营预算财政拨款收入0万元，占0%；上级补助收入0万元，占0%；事业收入2593.67万元，占17.85%；经营收入0万元，占0%；附属单位上缴收入0万元，占0%；其他收入61.91万元，占0.42%。</w:t>
      </w:r>
      <w:bookmarkEnd w:id="30"/>
    </w:p>
    <w:p>
      <w:pPr>
        <w:pStyle w:val="2"/>
        <w:spacing w:before="93"/>
      </w:pPr>
      <w:r>
        <w:drawing>
          <wp:inline distT="0" distB="0" distL="114300" distR="114300">
            <wp:extent cx="5273040" cy="2232025"/>
            <wp:effectExtent l="5080" t="4445" r="5080" b="11430"/>
            <wp:docPr id="104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（图2：收入决算结构图）（饼状图）</w:t>
      </w:r>
    </w:p>
    <w:p>
      <w:pPr>
        <w:pStyle w:val="24"/>
        <w:numPr>
          <w:ilvl w:val="255"/>
          <w:numId w:val="0"/>
        </w:numPr>
        <w:spacing w:line="600" w:lineRule="exact"/>
        <w:ind w:left="640"/>
        <w:outlineLvl w:val="1"/>
        <w:rPr>
          <w:rStyle w:val="26"/>
          <w:rFonts w:ascii="黑体" w:hAnsi="黑体" w:eastAsia="黑体"/>
        </w:rPr>
      </w:pPr>
      <w:bookmarkStart w:id="31" w:name="_Toc15377207"/>
      <w:bookmarkStart w:id="32" w:name="_Toc23908"/>
      <w:bookmarkStart w:id="33" w:name="_Toc15396605"/>
      <w:r>
        <w:rPr>
          <w:rFonts w:hint="eastAsia" w:ascii="黑体" w:hAnsi="黑体" w:eastAsia="黑体"/>
          <w:b/>
          <w:bCs/>
          <w:sz w:val="32"/>
          <w:szCs w:val="32"/>
        </w:rPr>
        <w:t>三、支</w:t>
      </w:r>
      <w:r>
        <w:rPr>
          <w:rStyle w:val="26"/>
          <w:rFonts w:hint="eastAsia" w:ascii="黑体" w:hAnsi="黑体" w:eastAsia="黑体"/>
        </w:rPr>
        <w:t>出决算情况说明</w:t>
      </w:r>
      <w:bookmarkEnd w:id="31"/>
      <w:bookmarkEnd w:id="32"/>
      <w:bookmarkEnd w:id="33"/>
    </w:p>
    <w:p>
      <w:pPr>
        <w:spacing w:line="600" w:lineRule="exact"/>
        <w:ind w:firstLine="640" w:firstLineChars="200"/>
        <w:outlineLvl w:val="1"/>
        <w:rPr>
          <w:rFonts w:ascii="仿宋" w:hAnsi="仿宋" w:eastAsia="仿宋" w:cs="仿宋"/>
          <w:sz w:val="32"/>
          <w:szCs w:val="32"/>
        </w:rPr>
      </w:pPr>
      <w:bookmarkStart w:id="34" w:name="_Toc11470"/>
      <w:r>
        <w:rPr>
          <w:rFonts w:hint="eastAsia" w:ascii="仿宋" w:hAnsi="仿宋" w:eastAsia="仿宋" w:cs="仿宋"/>
          <w:sz w:val="32"/>
          <w:szCs w:val="32"/>
        </w:rPr>
        <w:t>2021年本年支出合计14584.29万元，其中：基本支出10991.94万元，占75.37%；项目支出3592.35万元，占24.63%；上缴上级支出0万元，占0%；经营支出0万元，占0%；对附属单位补助支出0万元，占0%。</w:t>
      </w:r>
      <w:bookmarkEnd w:id="34"/>
    </w:p>
    <w:p>
      <w:pPr>
        <w:pStyle w:val="2"/>
        <w:spacing w:before="93"/>
      </w:pPr>
      <w:r>
        <w:drawing>
          <wp:inline distT="0" distB="0" distL="114300" distR="114300">
            <wp:extent cx="4705350" cy="2672080"/>
            <wp:effectExtent l="0" t="0" r="0" b="0"/>
            <wp:docPr id="10" name="图片 1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true"/>
                    </pic:cNvPicPr>
                  </pic:nvPicPr>
                  <pic:blipFill>
                    <a:blip r:embed="rId11"/>
                    <a:stretch>
                      <a:fillRect/>
                    </a:stretch>
                  </pic:blipFill>
                  <pic:spPr>
                    <a:xfrm>
                      <a:off x="0" y="0"/>
                      <a:ext cx="4705350" cy="2672080"/>
                    </a:xfrm>
                    <a:prstGeom prst="rect">
                      <a:avLst/>
                    </a:prstGeom>
                    <a:noFill/>
                    <a:ln>
                      <a:noFill/>
                    </a:ln>
                  </pic:spPr>
                </pic:pic>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（图3：支出决算结构图）（饼状图）</w:t>
      </w:r>
    </w:p>
    <w:p>
      <w:pPr>
        <w:spacing w:line="600" w:lineRule="exact"/>
        <w:ind w:firstLine="642" w:firstLineChars="200"/>
        <w:outlineLvl w:val="1"/>
        <w:rPr>
          <w:rStyle w:val="26"/>
          <w:rFonts w:ascii="黑体" w:hAnsi="黑体" w:eastAsia="黑体"/>
        </w:rPr>
      </w:pPr>
      <w:bookmarkStart w:id="35" w:name="_Toc15396606"/>
      <w:bookmarkStart w:id="36" w:name="_Toc9938"/>
      <w:bookmarkStart w:id="37" w:name="_Toc15377208"/>
      <w:r>
        <w:rPr>
          <w:rFonts w:hint="eastAsia" w:ascii="黑体" w:hAnsi="黑体" w:eastAsia="黑体"/>
          <w:b/>
          <w:bCs/>
          <w:sz w:val="32"/>
          <w:szCs w:val="32"/>
        </w:rPr>
        <w:t>四、财</w:t>
      </w:r>
      <w:r>
        <w:rPr>
          <w:rStyle w:val="26"/>
          <w:rFonts w:hint="eastAsia" w:ascii="黑体" w:hAnsi="黑体" w:eastAsia="黑体"/>
        </w:rPr>
        <w:t>政拨款收入支出决算总体情况说明</w:t>
      </w:r>
      <w:bookmarkEnd w:id="35"/>
      <w:bookmarkEnd w:id="36"/>
      <w:bookmarkEnd w:id="37"/>
    </w:p>
    <w:p>
      <w:pPr>
        <w:spacing w:line="600" w:lineRule="exact"/>
        <w:ind w:firstLine="640" w:firstLineChars="200"/>
        <w:rPr>
          <w:rFonts w:ascii="仿宋" w:hAnsi="仿宋" w:eastAsia="仿宋" w:cs="仿宋"/>
          <w:sz w:val="32"/>
          <w:szCs w:val="32"/>
          <w:u w:val="single"/>
        </w:rPr>
      </w:pPr>
      <w:r>
        <w:rPr>
          <w:rFonts w:hint="eastAsia" w:ascii="仿宋" w:hAnsi="仿宋" w:eastAsia="仿宋" w:cs="仿宋"/>
          <w:sz w:val="32"/>
          <w:szCs w:val="32"/>
        </w:rPr>
        <w:t>2021年财政拨款收、支总计11878.45万元。与2020年相比，财政拨款收、支总计各增加614.87万元，增长5.46%。主要变动原因是项目支出减少1142.06万元，基本支出增加1756.93万元（其中人员支出增加1355.85万元，商品和服务支出增加401.08万元）。</w:t>
      </w:r>
    </w:p>
    <w:p>
      <w:pPr>
        <w:pStyle w:val="2"/>
        <w:spacing w:before="93"/>
      </w:pPr>
      <w:r>
        <w:drawing>
          <wp:inline distT="0" distB="0" distL="114300" distR="114300">
            <wp:extent cx="5269865" cy="3163570"/>
            <wp:effectExtent l="0" t="0" r="0" b="17780"/>
            <wp:docPr id="18" name="图片 1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true"/>
                    </pic:cNvPicPr>
                  </pic:nvPicPr>
                  <pic:blipFill>
                    <a:blip r:embed="rId12"/>
                    <a:stretch>
                      <a:fillRect/>
                    </a:stretch>
                  </pic:blipFill>
                  <pic:spPr>
                    <a:xfrm>
                      <a:off x="0" y="0"/>
                      <a:ext cx="5269865" cy="3163570"/>
                    </a:xfrm>
                    <a:prstGeom prst="rect">
                      <a:avLst/>
                    </a:prstGeom>
                    <a:noFill/>
                    <a:ln>
                      <a:noFill/>
                    </a:ln>
                  </pic:spPr>
                </pic:pic>
              </a:graphicData>
            </a:graphic>
          </wp:inline>
        </w:drawing>
      </w:r>
    </w:p>
    <w:p>
      <w:pPr>
        <w:spacing w:line="600" w:lineRule="exact"/>
        <w:ind w:firstLine="640" w:firstLineChars="200"/>
        <w:rPr>
          <w:rFonts w:ascii="仿宋" w:hAnsi="仿宋" w:eastAsia="仿宋"/>
          <w:b/>
          <w:sz w:val="32"/>
          <w:szCs w:val="32"/>
        </w:rPr>
      </w:pPr>
      <w:r>
        <w:rPr>
          <w:rFonts w:hint="eastAsia" w:ascii="仿宋" w:hAnsi="仿宋" w:eastAsia="仿宋"/>
          <w:sz w:val="32"/>
          <w:szCs w:val="32"/>
        </w:rPr>
        <w:t>（图4：财政拨款收、支决算总计变动情况）（柱状图）</w:t>
      </w:r>
    </w:p>
    <w:p>
      <w:pPr>
        <w:spacing w:line="600" w:lineRule="exact"/>
        <w:ind w:firstLine="642" w:firstLineChars="200"/>
        <w:outlineLvl w:val="1"/>
        <w:rPr>
          <w:rStyle w:val="26"/>
          <w:rFonts w:ascii="黑体" w:hAnsi="黑体" w:eastAsia="黑体"/>
          <w:bCs w:val="0"/>
        </w:rPr>
      </w:pPr>
      <w:bookmarkStart w:id="38" w:name="_Toc15396607"/>
      <w:bookmarkStart w:id="39" w:name="_Toc15377209"/>
      <w:bookmarkStart w:id="40" w:name="_Toc30129"/>
      <w:r>
        <w:rPr>
          <w:rStyle w:val="26"/>
          <w:rFonts w:hint="eastAsia" w:ascii="黑体" w:hAnsi="黑体" w:eastAsia="黑体"/>
          <w:bCs w:val="0"/>
        </w:rPr>
        <w:t>五、一般公共预算财政拨款支出决算情况说明</w:t>
      </w:r>
      <w:bookmarkEnd w:id="38"/>
      <w:bookmarkEnd w:id="39"/>
      <w:bookmarkEnd w:id="40"/>
    </w:p>
    <w:p>
      <w:pPr>
        <w:ind w:firstLine="642" w:firstLineChars="200"/>
        <w:jc w:val="left"/>
        <w:rPr>
          <w:rFonts w:ascii="楷体_GB2312" w:hAnsi="楷体_GB2312" w:eastAsia="楷体_GB2312" w:cs="楷体_GB2312"/>
          <w:b/>
          <w:sz w:val="32"/>
          <w:szCs w:val="32"/>
        </w:rPr>
      </w:pPr>
      <w:bookmarkStart w:id="41" w:name="_Toc15377210"/>
      <w:r>
        <w:rPr>
          <w:rFonts w:hint="eastAsia" w:ascii="楷体_GB2312" w:hAnsi="楷体_GB2312" w:eastAsia="楷体_GB2312" w:cs="楷体_GB2312"/>
          <w:b/>
          <w:sz w:val="32"/>
          <w:szCs w:val="32"/>
        </w:rPr>
        <w:t>（一）一般公共预算财政拨款支出决算总体情况</w:t>
      </w:r>
      <w:bookmarkEnd w:id="41"/>
    </w:p>
    <w:p>
      <w:pPr>
        <w:spacing w:line="600" w:lineRule="exact"/>
        <w:ind w:firstLine="640"/>
        <w:rPr>
          <w:rFonts w:ascii="仿宋" w:hAnsi="仿宋" w:eastAsia="仿宋" w:cs="仿宋"/>
          <w:sz w:val="32"/>
          <w:szCs w:val="32"/>
        </w:rPr>
      </w:pPr>
      <w:r>
        <w:rPr>
          <w:rFonts w:hint="eastAsia" w:ascii="仿宋" w:hAnsi="仿宋" w:eastAsia="仿宋" w:cs="仿宋"/>
          <w:sz w:val="32"/>
          <w:szCs w:val="32"/>
        </w:rPr>
        <w:t>2021年一般公共预算财政拨款支出11878.45万元，占本年支出合计的81.73%。与2020年相比，一般公共预算财政拨款支出增加614.87万元，增长5.46%。主要变动原因是项目支出减少1142.06万元，基本支出增加1756.93万元（其中人员支出增加1355.85万元，商品和服务支出增加401.08万元）。</w:t>
      </w:r>
    </w:p>
    <w:p>
      <w:pPr>
        <w:spacing w:line="600" w:lineRule="exact"/>
        <w:ind w:firstLine="640" w:firstLineChars="200"/>
        <w:rPr>
          <w:rFonts w:ascii="仿宋" w:hAnsi="仿宋" w:eastAsia="仿宋"/>
          <w:sz w:val="32"/>
          <w:szCs w:val="32"/>
        </w:rPr>
      </w:pPr>
    </w:p>
    <w:p>
      <w:pPr>
        <w:pStyle w:val="2"/>
        <w:spacing w:before="93"/>
      </w:pPr>
      <w:r>
        <w:drawing>
          <wp:inline distT="0" distB="0" distL="114300" distR="114300">
            <wp:extent cx="5269865" cy="3163570"/>
            <wp:effectExtent l="0" t="0" r="0" b="17780"/>
            <wp:docPr id="19" name="图片 1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true"/>
                    </pic:cNvPicPr>
                  </pic:nvPicPr>
                  <pic:blipFill>
                    <a:blip r:embed="rId13"/>
                    <a:stretch>
                      <a:fillRect/>
                    </a:stretch>
                  </pic:blipFill>
                  <pic:spPr>
                    <a:xfrm>
                      <a:off x="0" y="0"/>
                      <a:ext cx="5269865" cy="3163570"/>
                    </a:xfrm>
                    <a:prstGeom prst="rect">
                      <a:avLst/>
                    </a:prstGeom>
                    <a:noFill/>
                    <a:ln>
                      <a:noFill/>
                    </a:ln>
                  </pic:spPr>
                </pic:pic>
              </a:graphicData>
            </a:graphic>
          </wp:inline>
        </w:drawing>
      </w:r>
    </w:p>
    <w:p>
      <w:pPr>
        <w:spacing w:line="600" w:lineRule="exact"/>
        <w:ind w:firstLine="320" w:firstLineChars="100"/>
        <w:rPr>
          <w:rFonts w:ascii="仿宋" w:hAnsi="仿宋" w:eastAsia="仿宋"/>
          <w:sz w:val="32"/>
          <w:szCs w:val="32"/>
        </w:rPr>
      </w:pPr>
      <w:r>
        <w:rPr>
          <w:rFonts w:hint="eastAsia" w:ascii="仿宋" w:hAnsi="仿宋" w:eastAsia="仿宋"/>
          <w:sz w:val="32"/>
          <w:szCs w:val="32"/>
        </w:rPr>
        <w:t>（图5：一般公共预算财政拨款支出决算变动情况）（柱状图）</w:t>
      </w:r>
    </w:p>
    <w:p>
      <w:pPr>
        <w:spacing w:line="600" w:lineRule="exact"/>
        <w:ind w:firstLine="642" w:firstLineChars="200"/>
        <w:outlineLvl w:val="2"/>
        <w:rPr>
          <w:rFonts w:ascii="楷体_GB2312" w:hAnsi="楷体_GB2312" w:eastAsia="楷体_GB2312" w:cs="楷体_GB2312"/>
          <w:b/>
          <w:sz w:val="32"/>
          <w:szCs w:val="32"/>
        </w:rPr>
      </w:pPr>
      <w:bookmarkStart w:id="42" w:name="_Toc15377211"/>
      <w:r>
        <w:rPr>
          <w:rFonts w:hint="eastAsia" w:ascii="楷体_GB2312" w:hAnsi="楷体_GB2312" w:eastAsia="楷体_GB2312" w:cs="楷体_GB2312"/>
          <w:b/>
          <w:sz w:val="32"/>
          <w:szCs w:val="32"/>
        </w:rPr>
        <w:t>（二）一般公共预算财政拨款支出决算结构情况</w:t>
      </w:r>
      <w:bookmarkEnd w:id="42"/>
    </w:p>
    <w:p>
      <w:pPr>
        <w:spacing w:line="600" w:lineRule="exact"/>
        <w:ind w:firstLine="640"/>
        <w:rPr>
          <w:rFonts w:ascii="仿宋" w:hAnsi="仿宋" w:eastAsia="仿宋" w:cs="仿宋"/>
          <w:sz w:val="32"/>
          <w:szCs w:val="32"/>
        </w:rPr>
      </w:pPr>
      <w:r>
        <w:rPr>
          <w:rFonts w:hint="eastAsia" w:ascii="仿宋" w:hAnsi="仿宋" w:eastAsia="仿宋" w:cs="仿宋"/>
          <w:sz w:val="32"/>
          <w:szCs w:val="32"/>
        </w:rPr>
        <w:t>2021年一般公共预算财政拨款支出11878.45万元，主要用于以下方面:一般公共服务（类）支出0万元，占0%；教育支出（类）11866.75万元，占99.9%；科学技术（类）支出0万元，占0%；文化旅游体育与传媒（类）支出0万元，占0%；社会保障和就业（类）支出9.79万元，占0.08%；卫生健康支出（类）1.91万元，占0.02%；住房保障支出0万元，占0%。</w:t>
      </w:r>
    </w:p>
    <w:p>
      <w:pPr>
        <w:spacing w:line="600" w:lineRule="exact"/>
        <w:ind w:firstLine="640"/>
        <w:rPr>
          <w:rFonts w:ascii="仿宋" w:hAnsi="仿宋" w:eastAsia="仿宋"/>
          <w:sz w:val="32"/>
          <w:szCs w:val="32"/>
        </w:rPr>
      </w:pPr>
    </w:p>
    <w:p>
      <w:pPr>
        <w:spacing w:line="600" w:lineRule="exact"/>
        <w:ind w:firstLine="640" w:firstLineChars="200"/>
        <w:rPr>
          <w:rFonts w:ascii="仿宋" w:hAnsi="仿宋" w:eastAsia="仿宋"/>
          <w:sz w:val="32"/>
          <w:szCs w:val="32"/>
        </w:rPr>
      </w:pPr>
    </w:p>
    <w:p>
      <w:pPr>
        <w:pStyle w:val="2"/>
        <w:spacing w:before="93"/>
      </w:pPr>
      <w:r>
        <w:drawing>
          <wp:inline distT="0" distB="0" distL="114300" distR="114300">
            <wp:extent cx="4962525" cy="2686050"/>
            <wp:effectExtent l="4445" t="4445" r="5080" b="14605"/>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642" w:firstLineChars="200"/>
        <w:outlineLvl w:val="2"/>
        <w:rPr>
          <w:rFonts w:ascii="楷体_GB2312" w:hAnsi="楷体_GB2312" w:eastAsia="楷体_GB2312" w:cs="楷体_GB2312"/>
          <w:b/>
          <w:sz w:val="32"/>
          <w:szCs w:val="32"/>
        </w:rPr>
      </w:pPr>
      <w:bookmarkStart w:id="43" w:name="_Toc15377212"/>
      <w:r>
        <w:rPr>
          <w:rFonts w:hint="eastAsia" w:ascii="楷体_GB2312" w:hAnsi="楷体_GB2312" w:eastAsia="楷体_GB2312" w:cs="楷体_GB2312"/>
          <w:b/>
          <w:sz w:val="32"/>
          <w:szCs w:val="32"/>
        </w:rPr>
        <w:t>（三）一般公共预算财政拨款支出决算具体情况</w:t>
      </w:r>
      <w:bookmarkEnd w:id="43"/>
    </w:p>
    <w:p>
      <w:pPr>
        <w:spacing w:line="600" w:lineRule="exact"/>
        <w:ind w:firstLine="640" w:firstLineChars="200"/>
        <w:outlineLvl w:val="2"/>
        <w:rPr>
          <w:rFonts w:ascii="仿宋" w:hAnsi="仿宋" w:eastAsia="仿宋" w:cs="仿宋"/>
          <w:sz w:val="32"/>
          <w:szCs w:val="32"/>
        </w:rPr>
      </w:pPr>
      <w:bookmarkStart w:id="44" w:name="_Toc15377213"/>
      <w:bookmarkStart w:id="45" w:name="_Toc15377444"/>
      <w:bookmarkStart w:id="46" w:name="_Toc15378460"/>
      <w:r>
        <w:rPr>
          <w:rFonts w:hint="eastAsia" w:ascii="仿宋" w:hAnsi="仿宋" w:eastAsia="仿宋" w:cs="仿宋"/>
          <w:sz w:val="32"/>
          <w:szCs w:val="32"/>
        </w:rPr>
        <w:t>2021年一般公共预算支出决算数为11878.45万元，完成预算88.25%。其中：</w:t>
      </w:r>
      <w:bookmarkEnd w:id="44"/>
      <w:bookmarkEnd w:id="45"/>
      <w:bookmarkEnd w:id="46"/>
    </w:p>
    <w:p>
      <w:pPr>
        <w:pStyle w:val="2"/>
        <w:spacing w:before="93"/>
        <w:ind w:firstLine="640" w:firstLineChars="200"/>
        <w:rPr>
          <w:rFonts w:ascii="仿宋" w:hAnsi="仿宋" w:eastAsia="仿宋" w:cs="仿宋"/>
          <w:color w:val="000000" w:themeColor="text1"/>
          <w14:textFill>
            <w14:solidFill>
              <w14:schemeClr w14:val="tx1"/>
            </w14:solidFill>
          </w14:textFill>
        </w:rPr>
      </w:pPr>
      <w:r>
        <w:rPr>
          <w:rStyle w:val="15"/>
          <w:rFonts w:hint="eastAsia" w:ascii="仿宋" w:hAnsi="仿宋" w:eastAsia="仿宋" w:cs="仿宋"/>
          <w:b w:val="0"/>
          <w:color w:val="000000" w:themeColor="text1"/>
          <w:sz w:val="32"/>
          <w:szCs w:val="32"/>
          <w14:textFill>
            <w14:solidFill>
              <w14:schemeClr w14:val="tx1"/>
            </w14:solidFill>
          </w14:textFill>
        </w:rPr>
        <w:t>1.教育支出（类）普通教育（款）高等教育（项）:1.77万元，完成预算100%。</w:t>
      </w:r>
    </w:p>
    <w:p>
      <w:pPr>
        <w:spacing w:line="600" w:lineRule="exact"/>
        <w:ind w:firstLine="640" w:firstLineChars="200"/>
        <w:rPr>
          <w:rFonts w:ascii="仿宋" w:hAnsi="仿宋" w:eastAsia="仿宋" w:cs="仿宋"/>
          <w:sz w:val="32"/>
          <w:szCs w:val="32"/>
        </w:rPr>
      </w:pPr>
      <w:r>
        <w:rPr>
          <w:rStyle w:val="15"/>
          <w:rFonts w:hint="eastAsia" w:ascii="仿宋" w:hAnsi="仿宋" w:eastAsia="仿宋" w:cs="仿宋"/>
          <w:b w:val="0"/>
          <w:sz w:val="32"/>
          <w:szCs w:val="32"/>
        </w:rPr>
        <w:t>2.教育支出（类）职业教育（款）高等职业教育（项）:</w:t>
      </w:r>
      <w:r>
        <w:rPr>
          <w:rFonts w:hint="eastAsia" w:ascii="仿宋" w:hAnsi="仿宋" w:eastAsia="仿宋" w:cs="仿宋"/>
          <w:sz w:val="32"/>
          <w:szCs w:val="32"/>
        </w:rPr>
        <w:t>支出决算为11864.98万元，完成预算88.28%，决算数小于预算数的主要原因是专项项目未使用完。</w:t>
      </w:r>
    </w:p>
    <w:p>
      <w:pPr>
        <w:spacing w:line="600" w:lineRule="exact"/>
        <w:ind w:firstLine="640" w:firstLineChars="200"/>
        <w:rPr>
          <w:rFonts w:ascii="仿宋" w:hAnsi="仿宋" w:eastAsia="仿宋" w:cs="仿宋"/>
          <w:sz w:val="32"/>
          <w:szCs w:val="32"/>
        </w:rPr>
      </w:pPr>
      <w:r>
        <w:rPr>
          <w:rStyle w:val="15"/>
          <w:rFonts w:hint="eastAsia" w:ascii="仿宋" w:hAnsi="仿宋" w:eastAsia="仿宋" w:cs="仿宋"/>
          <w:b w:val="0"/>
          <w:sz w:val="32"/>
          <w:szCs w:val="32"/>
        </w:rPr>
        <w:t>3.社会保障和就业支出（类）其他社会保障和就业支出（款）其他社会保障和就业支出（项）:</w:t>
      </w:r>
      <w:r>
        <w:rPr>
          <w:rFonts w:hint="eastAsia" w:ascii="仿宋" w:hAnsi="仿宋" w:eastAsia="仿宋" w:cs="仿宋"/>
          <w:sz w:val="32"/>
          <w:szCs w:val="32"/>
        </w:rPr>
        <w:t>支出决算为9.79万元，完成预算100%。</w:t>
      </w:r>
    </w:p>
    <w:p>
      <w:pPr>
        <w:spacing w:line="600" w:lineRule="exact"/>
        <w:ind w:firstLine="640" w:firstLineChars="200"/>
        <w:rPr>
          <w:rFonts w:ascii="仿宋" w:hAnsi="仿宋" w:eastAsia="仿宋" w:cs="仿宋"/>
          <w:sz w:val="32"/>
          <w:szCs w:val="32"/>
        </w:rPr>
      </w:pPr>
      <w:r>
        <w:rPr>
          <w:rStyle w:val="15"/>
          <w:rFonts w:hint="eastAsia" w:ascii="仿宋" w:hAnsi="仿宋" w:eastAsia="仿宋" w:cs="仿宋"/>
          <w:b w:val="0"/>
          <w:sz w:val="32"/>
          <w:szCs w:val="32"/>
        </w:rPr>
        <w:t>4.</w:t>
      </w:r>
      <w:r>
        <w:rPr>
          <w:rFonts w:hint="eastAsia" w:ascii="仿宋" w:hAnsi="仿宋" w:eastAsia="仿宋" w:cs="仿宋"/>
          <w:sz w:val="32"/>
          <w:szCs w:val="32"/>
        </w:rPr>
        <w:t>卫生健康支出</w:t>
      </w:r>
      <w:r>
        <w:rPr>
          <w:rStyle w:val="15"/>
          <w:rFonts w:hint="eastAsia" w:ascii="仿宋" w:hAnsi="仿宋" w:eastAsia="仿宋" w:cs="仿宋"/>
          <w:b w:val="0"/>
          <w:sz w:val="32"/>
          <w:szCs w:val="32"/>
        </w:rPr>
        <w:t>（类）其他卫生健康支出（款）其他卫生健康支出（项）:</w:t>
      </w:r>
      <w:r>
        <w:rPr>
          <w:rFonts w:hint="eastAsia" w:ascii="仿宋" w:hAnsi="仿宋" w:eastAsia="仿宋" w:cs="仿宋"/>
          <w:sz w:val="32"/>
          <w:szCs w:val="32"/>
        </w:rPr>
        <w:t>支出决算为1.91万元，完成预算95.5%，决算数小于预算数的主要原因是学生活动差旅费未发生。</w:t>
      </w:r>
    </w:p>
    <w:p>
      <w:pPr>
        <w:tabs>
          <w:tab w:val="right" w:pos="8306"/>
        </w:tabs>
        <w:spacing w:line="600" w:lineRule="exact"/>
        <w:ind w:firstLine="640"/>
        <w:outlineLvl w:val="1"/>
        <w:rPr>
          <w:rStyle w:val="26"/>
          <w:rFonts w:ascii="黑体" w:hAnsi="黑体" w:eastAsia="黑体"/>
          <w:b w:val="0"/>
          <w:bCs w:val="0"/>
        </w:rPr>
      </w:pPr>
      <w:bookmarkStart w:id="47" w:name="_Toc12610"/>
      <w:bookmarkStart w:id="48" w:name="_Toc15377214"/>
      <w:bookmarkStart w:id="49" w:name="_Toc15396608"/>
      <w:r>
        <w:rPr>
          <w:rFonts w:hint="eastAsia" w:ascii="黑体" w:hAnsi="黑体" w:eastAsia="黑体"/>
          <w:b/>
          <w:bCs/>
          <w:sz w:val="32"/>
          <w:szCs w:val="32"/>
        </w:rPr>
        <w:t>六、一</w:t>
      </w:r>
      <w:r>
        <w:rPr>
          <w:rStyle w:val="26"/>
          <w:rFonts w:hint="eastAsia" w:ascii="黑体" w:hAnsi="黑体" w:eastAsia="黑体"/>
        </w:rPr>
        <w:t>般公共预算财政拨款基本支出决算情况说明</w:t>
      </w:r>
      <w:bookmarkEnd w:id="47"/>
      <w:bookmarkEnd w:id="48"/>
      <w:bookmarkEnd w:id="49"/>
      <w:r>
        <w:rPr>
          <w:rStyle w:val="26"/>
          <w:rFonts w:ascii="黑体" w:hAnsi="黑体" w:eastAsia="黑体"/>
          <w:b w:val="0"/>
          <w:bCs w:val="0"/>
        </w:rPr>
        <w:tab/>
      </w:r>
    </w:p>
    <w:p>
      <w:pPr>
        <w:spacing w:line="600" w:lineRule="exact"/>
        <w:ind w:firstLine="645"/>
        <w:rPr>
          <w:rFonts w:ascii="仿宋" w:hAnsi="仿宋" w:eastAsia="仿宋" w:cs="仿宋"/>
          <w:sz w:val="32"/>
          <w:szCs w:val="32"/>
        </w:rPr>
      </w:pPr>
      <w:r>
        <w:rPr>
          <w:rFonts w:hint="eastAsia" w:ascii="仿宋" w:hAnsi="仿宋" w:eastAsia="仿宋" w:cs="仿宋"/>
          <w:sz w:val="32"/>
          <w:szCs w:val="32"/>
        </w:rPr>
        <w:t>2021年一般公共预算财政拨款基本支出8672.16万元，其中：</w:t>
      </w:r>
    </w:p>
    <w:p>
      <w:pPr>
        <w:spacing w:line="600" w:lineRule="exact"/>
        <w:ind w:firstLine="645"/>
        <w:rPr>
          <w:rFonts w:ascii="仿宋" w:hAnsi="仿宋" w:eastAsia="仿宋" w:cs="仿宋"/>
          <w:color w:val="auto"/>
          <w:sz w:val="32"/>
          <w:szCs w:val="32"/>
        </w:rPr>
      </w:pPr>
      <w:r>
        <w:rPr>
          <w:rFonts w:hint="eastAsia" w:ascii="仿宋" w:hAnsi="仿宋" w:eastAsia="仿宋" w:cs="仿宋"/>
          <w:sz w:val="32"/>
          <w:szCs w:val="32"/>
        </w:rPr>
        <w:t>人</w:t>
      </w:r>
      <w:bookmarkStart w:id="101" w:name="_GoBack"/>
      <w:r>
        <w:rPr>
          <w:rFonts w:hint="eastAsia" w:ascii="仿宋" w:hAnsi="仿宋" w:eastAsia="仿宋" w:cs="仿宋"/>
          <w:color w:val="auto"/>
          <w:sz w:val="32"/>
          <w:szCs w:val="32"/>
        </w:rPr>
        <w:t>员经费</w:t>
      </w:r>
      <w:r>
        <w:rPr>
          <w:rFonts w:hint="eastAsia" w:ascii="仿宋" w:hAnsi="仿宋" w:eastAsia="仿宋" w:cs="仿宋"/>
          <w:color w:val="auto"/>
          <w:sz w:val="32"/>
          <w:szCs w:val="32"/>
        </w:rPr>
        <w:t>7333.91万元，主要包括：基本工资、津贴补贴、绩效工资、机关事业单位基本养老保险缴费、职业年金缴费、</w:t>
      </w:r>
      <w:r>
        <w:rPr>
          <w:rFonts w:hint="eastAsia" w:ascii="仿宋" w:hAnsi="仿宋" w:eastAsia="仿宋" w:cs="仿宋"/>
          <w:color w:val="auto"/>
          <w:sz w:val="32"/>
          <w:szCs w:val="32"/>
          <w:lang w:eastAsia="zh-CN"/>
        </w:rPr>
        <w:t>职工基本医疗保险缴费、</w:t>
      </w:r>
      <w:r>
        <w:rPr>
          <w:rFonts w:hint="eastAsia" w:ascii="仿宋" w:hAnsi="仿宋" w:eastAsia="仿宋" w:cs="仿宋"/>
          <w:color w:val="auto"/>
          <w:sz w:val="32"/>
          <w:szCs w:val="32"/>
        </w:rPr>
        <w:t>其他社会保障缴费、住房公积金</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其他工资福利支出、离休费、抚恤金、其他对个人和家庭的补助支出等。</w:t>
      </w:r>
    </w:p>
    <w:p>
      <w:pPr>
        <w:spacing w:line="600" w:lineRule="exact"/>
        <w:ind w:firstLine="645"/>
        <w:rPr>
          <w:rFonts w:ascii="仿宋" w:hAnsi="仿宋" w:eastAsia="仿宋" w:cs="仿宋"/>
          <w:color w:val="auto"/>
          <w:sz w:val="32"/>
          <w:szCs w:val="32"/>
        </w:rPr>
      </w:pPr>
      <w:r>
        <w:rPr>
          <w:rFonts w:hint="eastAsia" w:ascii="仿宋" w:hAnsi="仿宋" w:eastAsia="仿宋" w:cs="仿宋"/>
          <w:color w:val="auto"/>
          <w:sz w:val="32"/>
          <w:szCs w:val="32"/>
        </w:rPr>
        <w:t>公用经费1338.25万元，主要包括：办公费、水费、电费、邮电费、物业管理费、差旅费、维修（护）费、租赁费、培训费、劳务费、委托业务费、工会经费、福利费、其他商品和服务支出。</w:t>
      </w:r>
    </w:p>
    <w:p>
      <w:pPr>
        <w:spacing w:line="600" w:lineRule="exact"/>
        <w:ind w:firstLine="640"/>
        <w:outlineLvl w:val="1"/>
        <w:rPr>
          <w:rStyle w:val="26"/>
          <w:rFonts w:ascii="黑体" w:hAnsi="黑体" w:eastAsia="黑体"/>
          <w:color w:val="auto"/>
        </w:rPr>
      </w:pPr>
      <w:bookmarkStart w:id="50" w:name="_Toc15396609"/>
      <w:bookmarkStart w:id="51" w:name="_Toc10545"/>
      <w:bookmarkStart w:id="52" w:name="_Toc15377215"/>
      <w:r>
        <w:rPr>
          <w:rFonts w:hint="eastAsia" w:ascii="黑体" w:eastAsia="黑体"/>
          <w:b/>
          <w:bCs/>
          <w:color w:val="auto"/>
          <w:sz w:val="32"/>
          <w:szCs w:val="32"/>
        </w:rPr>
        <w:t>七、</w:t>
      </w:r>
      <w:r>
        <w:rPr>
          <w:rStyle w:val="26"/>
          <w:rFonts w:hint="eastAsia" w:ascii="黑体" w:hAnsi="黑体" w:eastAsia="黑体"/>
          <w:color w:val="auto"/>
        </w:rPr>
        <w:t>“三公”经费财政拨款支出决算情况说明</w:t>
      </w:r>
      <w:bookmarkEnd w:id="50"/>
      <w:bookmarkEnd w:id="51"/>
      <w:bookmarkEnd w:id="52"/>
    </w:p>
    <w:p>
      <w:pPr>
        <w:spacing w:line="600" w:lineRule="exact"/>
        <w:ind w:firstLine="642" w:firstLineChars="200"/>
        <w:outlineLvl w:val="2"/>
        <w:rPr>
          <w:rFonts w:ascii="楷体_GB2312" w:hAnsi="楷体_GB2312" w:eastAsia="楷体_GB2312" w:cs="楷体_GB2312"/>
          <w:b/>
          <w:bCs/>
          <w:sz w:val="32"/>
          <w:szCs w:val="32"/>
          <w:highlight w:val="none"/>
        </w:rPr>
      </w:pPr>
      <w:bookmarkStart w:id="53" w:name="_Toc15377216"/>
      <w:r>
        <w:rPr>
          <w:rFonts w:hint="eastAsia" w:ascii="楷体_GB2312" w:hAnsi="楷体_GB2312" w:eastAsia="楷体_GB2312" w:cs="楷体_GB2312"/>
          <w:b/>
          <w:bCs/>
          <w:color w:val="auto"/>
          <w:sz w:val="32"/>
          <w:szCs w:val="32"/>
          <w:highlight w:val="none"/>
        </w:rPr>
        <w:t>（一）“三公”经费财政拨款</w:t>
      </w:r>
      <w:bookmarkEnd w:id="101"/>
      <w:r>
        <w:rPr>
          <w:rFonts w:hint="eastAsia" w:ascii="楷体_GB2312" w:hAnsi="楷体_GB2312" w:eastAsia="楷体_GB2312" w:cs="楷体_GB2312"/>
          <w:b/>
          <w:bCs/>
          <w:sz w:val="32"/>
          <w:szCs w:val="32"/>
          <w:highlight w:val="none"/>
        </w:rPr>
        <w:t>支出决算总体情况说明</w:t>
      </w:r>
      <w:bookmarkEnd w:id="53"/>
    </w:p>
    <w:p>
      <w:pPr>
        <w:spacing w:line="60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 xml:space="preserve">2021年“三公”经费财政拨款支出决算为17.98万元，完成预算99.89%，决算数小于预算数的主要原因是政府采购招标结余200元，年终由财政收回。 </w:t>
      </w:r>
    </w:p>
    <w:p>
      <w:pPr>
        <w:spacing w:line="600" w:lineRule="exact"/>
        <w:ind w:firstLine="642" w:firstLineChars="200"/>
        <w:outlineLvl w:val="2"/>
        <w:rPr>
          <w:rFonts w:ascii="楷体_GB2312" w:hAnsi="楷体_GB2312" w:eastAsia="楷体_GB2312" w:cs="楷体_GB2312"/>
          <w:b/>
          <w:sz w:val="32"/>
          <w:szCs w:val="32"/>
        </w:rPr>
      </w:pPr>
      <w:bookmarkStart w:id="54" w:name="_Toc15377217"/>
      <w:r>
        <w:rPr>
          <w:rFonts w:hint="eastAsia" w:ascii="楷体_GB2312" w:hAnsi="楷体_GB2312" w:eastAsia="楷体_GB2312" w:cs="楷体_GB2312"/>
          <w:b/>
          <w:sz w:val="32"/>
          <w:szCs w:val="32"/>
        </w:rPr>
        <w:t>（二）“三公”经费财政拨款支出决算具体情况说明</w:t>
      </w:r>
      <w:bookmarkEnd w:id="54"/>
    </w:p>
    <w:p>
      <w:pPr>
        <w:spacing w:line="600" w:lineRule="exact"/>
        <w:ind w:firstLine="640"/>
        <w:rPr>
          <w:rFonts w:ascii="仿宋" w:hAnsi="仿宋" w:eastAsia="仿宋" w:cs="仿宋"/>
          <w:sz w:val="32"/>
          <w:szCs w:val="32"/>
        </w:rPr>
      </w:pPr>
      <w:r>
        <w:rPr>
          <w:rFonts w:hint="eastAsia" w:ascii="仿宋" w:hAnsi="仿宋" w:eastAsia="仿宋" w:cs="仿宋"/>
          <w:sz w:val="32"/>
          <w:szCs w:val="32"/>
        </w:rPr>
        <w:t>2021年“三公”经费财政拨款支出决算中，因公出国（境）费支出决算0万元，占0%；公务用车购置及运行维护费支出决算17.98万元，占100%；公务接待费支出决算0万元，占0%。具体情况如下：</w:t>
      </w:r>
    </w:p>
    <w:p>
      <w:pPr>
        <w:spacing w:line="600" w:lineRule="exact"/>
        <w:ind w:firstLine="640"/>
        <w:rPr>
          <w:rFonts w:ascii="仿宋" w:hAnsi="仿宋" w:eastAsia="仿宋" w:cs="仿宋"/>
          <w:sz w:val="32"/>
          <w:szCs w:val="32"/>
        </w:rPr>
      </w:pPr>
    </w:p>
    <w:p>
      <w:pPr>
        <w:pStyle w:val="2"/>
        <w:spacing w:before="93"/>
      </w:pPr>
      <w:r>
        <w:drawing>
          <wp:inline distT="0" distB="0" distL="114300" distR="114300">
            <wp:extent cx="4172585" cy="2343150"/>
            <wp:effectExtent l="5080" t="4445" r="13335" b="14605"/>
            <wp:docPr id="1050"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pPr>
        <w:spacing w:line="600" w:lineRule="exact"/>
        <w:ind w:firstLine="640"/>
        <w:rPr>
          <w:rFonts w:ascii="仿宋" w:hAnsi="仿宋" w:eastAsia="仿宋" w:cs="仿宋"/>
          <w:b/>
          <w:sz w:val="32"/>
          <w:szCs w:val="32"/>
        </w:rPr>
      </w:pPr>
      <w:r>
        <w:rPr>
          <w:rFonts w:hint="eastAsia" w:ascii="仿宋" w:hAnsi="仿宋" w:eastAsia="仿宋" w:cs="仿宋"/>
          <w:b/>
          <w:sz w:val="32"/>
          <w:szCs w:val="32"/>
        </w:rPr>
        <w:t>1.因公出国（境）经费支出</w:t>
      </w:r>
      <w:r>
        <w:rPr>
          <w:rFonts w:hint="eastAsia" w:ascii="仿宋" w:hAnsi="仿宋" w:eastAsia="仿宋" w:cs="仿宋"/>
          <w:sz w:val="32"/>
          <w:szCs w:val="32"/>
        </w:rPr>
        <w:t>0万元，完成预算0%。全年安排因公出国（境）团组0次，出国（境）0人。因公出国（境）支出决算比2020年增加0万元。</w:t>
      </w:r>
    </w:p>
    <w:p>
      <w:pPr>
        <w:spacing w:line="600" w:lineRule="exact"/>
        <w:ind w:firstLine="640"/>
        <w:rPr>
          <w:rFonts w:ascii="仿宋" w:hAnsi="仿宋" w:eastAsia="仿宋" w:cs="仿宋"/>
          <w:color w:val="auto"/>
          <w:sz w:val="32"/>
          <w:szCs w:val="32"/>
        </w:rPr>
      </w:pPr>
      <w:r>
        <w:rPr>
          <w:rFonts w:hint="eastAsia" w:ascii="仿宋" w:hAnsi="仿宋" w:eastAsia="仿宋" w:cs="仿宋"/>
          <w:b/>
          <w:sz w:val="32"/>
          <w:szCs w:val="32"/>
        </w:rPr>
        <w:t>2.公务用车购置及运行维护费支出</w:t>
      </w:r>
      <w:r>
        <w:rPr>
          <w:rFonts w:hint="eastAsia" w:ascii="仿宋" w:hAnsi="仿宋" w:eastAsia="仿宋" w:cs="仿宋"/>
          <w:sz w:val="32"/>
          <w:szCs w:val="32"/>
        </w:rPr>
        <w:t>17.98万元,完成预算99.89%。公务用车购置及运行维护费支出决算比2020年增</w:t>
      </w:r>
      <w:r>
        <w:rPr>
          <w:rFonts w:hint="eastAsia" w:ascii="仿宋" w:hAnsi="仿宋" w:eastAsia="仿宋" w:cs="仿宋"/>
          <w:color w:val="auto"/>
          <w:sz w:val="32"/>
          <w:szCs w:val="32"/>
        </w:rPr>
        <w:t>加17.98万元。主要原因是新购轿车一辆，用于应急保障。</w:t>
      </w:r>
    </w:p>
    <w:p>
      <w:pPr>
        <w:spacing w:line="600" w:lineRule="exact"/>
        <w:ind w:firstLine="640"/>
        <w:rPr>
          <w:rFonts w:ascii="仿宋" w:hAnsi="仿宋" w:eastAsia="仿宋" w:cs="仿宋"/>
          <w:color w:val="auto"/>
          <w:sz w:val="32"/>
          <w:szCs w:val="32"/>
          <w:highlight w:val="none"/>
        </w:rPr>
      </w:pPr>
      <w:r>
        <w:rPr>
          <w:rFonts w:hint="eastAsia" w:ascii="仿宋" w:hAnsi="仿宋" w:eastAsia="仿宋" w:cs="仿宋"/>
          <w:color w:val="auto"/>
          <w:sz w:val="32"/>
          <w:szCs w:val="32"/>
        </w:rPr>
        <w:t>其中：</w:t>
      </w:r>
      <w:r>
        <w:rPr>
          <w:rFonts w:hint="eastAsia" w:ascii="仿宋" w:hAnsi="仿宋" w:eastAsia="仿宋" w:cs="仿宋"/>
          <w:b/>
          <w:color w:val="auto"/>
          <w:sz w:val="32"/>
          <w:szCs w:val="32"/>
        </w:rPr>
        <w:t>公务用车购置支出</w:t>
      </w:r>
      <w:r>
        <w:rPr>
          <w:rFonts w:hint="eastAsia" w:ascii="仿宋" w:hAnsi="仿宋" w:eastAsia="仿宋" w:cs="仿宋"/>
          <w:color w:val="auto"/>
          <w:sz w:val="32"/>
          <w:szCs w:val="32"/>
        </w:rPr>
        <w:t>17.98万元。全年按规定更新购置公务用车1辆，其中：</w:t>
      </w:r>
      <w:r>
        <w:rPr>
          <w:rFonts w:hint="eastAsia" w:ascii="仿宋" w:hAnsi="仿宋" w:eastAsia="仿宋" w:cs="仿宋"/>
          <w:color w:val="auto"/>
          <w:sz w:val="32"/>
          <w:szCs w:val="32"/>
          <w:lang w:eastAsia="zh-CN"/>
        </w:rPr>
        <w:t>轿车</w:t>
      </w:r>
      <w:r>
        <w:rPr>
          <w:rFonts w:hint="eastAsia" w:ascii="仿宋" w:hAnsi="仿宋" w:eastAsia="仿宋" w:cs="仿宋"/>
          <w:color w:val="auto"/>
          <w:sz w:val="32"/>
          <w:szCs w:val="32"/>
          <w:lang w:val="en-US" w:eastAsia="zh-CN"/>
        </w:rPr>
        <w:t>1辆、</w:t>
      </w:r>
      <w:r>
        <w:rPr>
          <w:rFonts w:hint="eastAsia" w:ascii="仿宋" w:hAnsi="仿宋" w:eastAsia="仿宋" w:cs="仿宋"/>
          <w:color w:val="auto"/>
          <w:sz w:val="32"/>
          <w:szCs w:val="32"/>
        </w:rPr>
        <w:t>金额17.98万元，越野车0辆、金额0万元，载客汽车0辆、金额0万元，主要用于应</w:t>
      </w:r>
      <w:r>
        <w:rPr>
          <w:rFonts w:hint="eastAsia" w:ascii="仿宋" w:hAnsi="仿宋" w:eastAsia="仿宋" w:cs="仿宋"/>
          <w:color w:val="auto"/>
          <w:sz w:val="32"/>
          <w:szCs w:val="32"/>
          <w:highlight w:val="none"/>
        </w:rPr>
        <w:t>急保障。截至2021年12月底，单位共有公务用车</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辆，其中：轿车</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辆、越野车0辆、载客汽车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w:t>
      </w:r>
    </w:p>
    <w:p>
      <w:pPr>
        <w:spacing w:line="600" w:lineRule="exact"/>
        <w:ind w:firstLine="640"/>
        <w:rPr>
          <w:rFonts w:ascii="仿宋" w:hAnsi="仿宋" w:eastAsia="仿宋" w:cs="仿宋"/>
          <w:color w:val="auto"/>
          <w:sz w:val="32"/>
          <w:szCs w:val="32"/>
          <w:highlight w:val="none"/>
        </w:rPr>
      </w:pPr>
      <w:r>
        <w:rPr>
          <w:rFonts w:hint="eastAsia" w:ascii="仿宋" w:hAnsi="仿宋" w:eastAsia="仿宋" w:cs="仿宋"/>
          <w:b/>
          <w:color w:val="auto"/>
          <w:sz w:val="32"/>
          <w:szCs w:val="32"/>
          <w:highlight w:val="none"/>
        </w:rPr>
        <w:t>公务用车运行维护费支出</w:t>
      </w:r>
      <w:r>
        <w:rPr>
          <w:rFonts w:hint="eastAsia" w:ascii="仿宋" w:hAnsi="仿宋" w:eastAsia="仿宋" w:cs="仿宋"/>
          <w:color w:val="auto"/>
          <w:sz w:val="32"/>
          <w:szCs w:val="32"/>
          <w:highlight w:val="none"/>
        </w:rPr>
        <w:t>0万元。</w:t>
      </w:r>
    </w:p>
    <w:p>
      <w:pPr>
        <w:spacing w:line="600" w:lineRule="exact"/>
        <w:ind w:firstLine="640"/>
        <w:rPr>
          <w:rFonts w:ascii="仿宋" w:hAnsi="仿宋" w:eastAsia="仿宋" w:cs="仿宋"/>
          <w:color w:val="auto"/>
          <w:sz w:val="32"/>
          <w:szCs w:val="32"/>
        </w:rPr>
      </w:pPr>
      <w:r>
        <w:rPr>
          <w:rFonts w:hint="eastAsia" w:ascii="仿宋" w:hAnsi="仿宋" w:eastAsia="仿宋" w:cs="仿宋"/>
          <w:b/>
          <w:color w:val="auto"/>
          <w:sz w:val="32"/>
          <w:szCs w:val="32"/>
        </w:rPr>
        <w:t>3.公务接待费支出</w:t>
      </w:r>
      <w:r>
        <w:rPr>
          <w:rFonts w:hint="eastAsia" w:ascii="仿宋" w:hAnsi="仿宋" w:eastAsia="仿宋" w:cs="仿宋"/>
          <w:color w:val="auto"/>
          <w:sz w:val="32"/>
          <w:szCs w:val="32"/>
        </w:rPr>
        <w:t>0万元，完成预算0%。公务接待费支出决算比2020年增加0万元，增长0%。其中：</w:t>
      </w:r>
    </w:p>
    <w:p>
      <w:pPr>
        <w:spacing w:line="600" w:lineRule="exact"/>
        <w:ind w:firstLine="640"/>
        <w:rPr>
          <w:rFonts w:hint="default" w:ascii="仿宋" w:hAnsi="仿宋" w:eastAsia="仿宋" w:cs="仿宋"/>
          <w:color w:val="auto"/>
          <w:sz w:val="32"/>
          <w:szCs w:val="32"/>
          <w:lang w:val="en-US" w:eastAsia="zh-CN"/>
        </w:rPr>
      </w:pPr>
      <w:r>
        <w:rPr>
          <w:rFonts w:hint="eastAsia" w:ascii="仿宋" w:hAnsi="仿宋" w:eastAsia="仿宋" w:cs="仿宋"/>
          <w:b/>
          <w:color w:val="auto"/>
          <w:sz w:val="32"/>
          <w:szCs w:val="32"/>
        </w:rPr>
        <w:t>国内公务接待支出</w:t>
      </w:r>
      <w:r>
        <w:rPr>
          <w:rFonts w:hint="eastAsia" w:ascii="仿宋" w:hAnsi="仿宋" w:eastAsia="仿宋" w:cs="仿宋"/>
          <w:color w:val="auto"/>
          <w:sz w:val="32"/>
          <w:szCs w:val="32"/>
        </w:rPr>
        <w:t>0万元</w:t>
      </w:r>
      <w:r>
        <w:rPr>
          <w:rFonts w:hint="eastAsia" w:ascii="仿宋" w:hAnsi="仿宋" w:eastAsia="仿宋" w:cs="仿宋"/>
          <w:color w:val="auto"/>
          <w:sz w:val="32"/>
          <w:szCs w:val="32"/>
          <w:lang w:eastAsia="zh-CN"/>
        </w:rPr>
        <w:t>，国内公务接待</w:t>
      </w:r>
      <w:r>
        <w:rPr>
          <w:rFonts w:hint="eastAsia" w:ascii="仿宋" w:hAnsi="仿宋" w:eastAsia="仿宋" w:cs="仿宋"/>
          <w:color w:val="auto"/>
          <w:sz w:val="32"/>
          <w:szCs w:val="32"/>
          <w:lang w:val="en-US" w:eastAsia="zh-CN"/>
        </w:rPr>
        <w:t>0批次，0人次，共计支出0万元。</w:t>
      </w:r>
    </w:p>
    <w:p>
      <w:pPr>
        <w:spacing w:line="600" w:lineRule="exact"/>
        <w:ind w:firstLine="642" w:firstLineChars="200"/>
        <w:rPr>
          <w:rFonts w:hint="default" w:ascii="仿宋" w:hAnsi="仿宋" w:eastAsia="仿宋" w:cs="仿宋"/>
          <w:color w:val="auto"/>
          <w:sz w:val="32"/>
          <w:szCs w:val="32"/>
          <w:lang w:val="en-US" w:eastAsia="zh-CN"/>
        </w:rPr>
      </w:pPr>
      <w:r>
        <w:rPr>
          <w:rFonts w:hint="eastAsia" w:ascii="仿宋" w:hAnsi="仿宋" w:eastAsia="仿宋" w:cs="仿宋"/>
          <w:b/>
          <w:color w:val="auto"/>
          <w:sz w:val="32"/>
          <w:szCs w:val="32"/>
        </w:rPr>
        <w:t>外事接待支出</w:t>
      </w:r>
      <w:r>
        <w:rPr>
          <w:rFonts w:hint="eastAsia" w:ascii="仿宋" w:hAnsi="仿宋" w:eastAsia="仿宋" w:cs="仿宋"/>
          <w:color w:val="auto"/>
          <w:sz w:val="32"/>
          <w:szCs w:val="32"/>
        </w:rPr>
        <w:t>0万元</w:t>
      </w:r>
      <w:r>
        <w:rPr>
          <w:rFonts w:hint="eastAsia" w:ascii="仿宋" w:hAnsi="仿宋" w:eastAsia="仿宋" w:cs="仿宋"/>
          <w:color w:val="auto"/>
          <w:sz w:val="32"/>
          <w:szCs w:val="32"/>
          <w:lang w:eastAsia="zh-CN"/>
        </w:rPr>
        <w:t>，外事接待</w:t>
      </w:r>
      <w:r>
        <w:rPr>
          <w:rFonts w:hint="eastAsia" w:ascii="仿宋" w:hAnsi="仿宋" w:eastAsia="仿宋" w:cs="仿宋"/>
          <w:color w:val="auto"/>
          <w:sz w:val="32"/>
          <w:szCs w:val="32"/>
          <w:lang w:val="en-US" w:eastAsia="zh-CN"/>
        </w:rPr>
        <w:t>0批次，0人，共计支出0万元。</w:t>
      </w:r>
    </w:p>
    <w:p>
      <w:pPr>
        <w:spacing w:line="600" w:lineRule="exact"/>
        <w:ind w:firstLine="640"/>
        <w:outlineLvl w:val="1"/>
        <w:rPr>
          <w:rStyle w:val="26"/>
          <w:rFonts w:ascii="黑体" w:hAnsi="黑体" w:eastAsia="黑体"/>
          <w:color w:val="auto"/>
        </w:rPr>
      </w:pPr>
      <w:bookmarkStart w:id="55" w:name="_Toc15396610"/>
      <w:bookmarkStart w:id="56" w:name="_Toc6123"/>
      <w:bookmarkStart w:id="57" w:name="_Toc15377218"/>
      <w:r>
        <w:rPr>
          <w:rFonts w:hint="eastAsia" w:ascii="黑体" w:eastAsia="黑体"/>
          <w:b/>
          <w:bCs/>
          <w:color w:val="auto"/>
          <w:sz w:val="32"/>
          <w:szCs w:val="32"/>
        </w:rPr>
        <w:t>八、</w:t>
      </w:r>
      <w:r>
        <w:rPr>
          <w:rStyle w:val="26"/>
          <w:rFonts w:hint="eastAsia" w:ascii="黑体" w:hAnsi="黑体" w:eastAsia="黑体"/>
          <w:color w:val="auto"/>
        </w:rPr>
        <w:t>政府性基金预算支出决算情况说明</w:t>
      </w:r>
      <w:bookmarkEnd w:id="55"/>
      <w:bookmarkEnd w:id="56"/>
      <w:bookmarkEnd w:id="57"/>
    </w:p>
    <w:p>
      <w:pPr>
        <w:spacing w:line="600" w:lineRule="exact"/>
        <w:ind w:firstLine="640"/>
        <w:rPr>
          <w:rFonts w:ascii="仿宋_GB2312" w:eastAsia="仿宋_GB2312"/>
          <w:color w:val="auto"/>
          <w:sz w:val="32"/>
          <w:szCs w:val="32"/>
        </w:rPr>
      </w:pPr>
      <w:r>
        <w:rPr>
          <w:rFonts w:hint="eastAsia" w:ascii="仿宋" w:hAnsi="仿宋" w:eastAsia="仿宋" w:cs="仿宋"/>
          <w:color w:val="auto"/>
          <w:sz w:val="32"/>
          <w:szCs w:val="32"/>
        </w:rPr>
        <w:t>2021年政府性基金预算财政拨款支出0万元。</w:t>
      </w:r>
    </w:p>
    <w:p>
      <w:pPr>
        <w:numPr>
          <w:ilvl w:val="0"/>
          <w:numId w:val="1"/>
        </w:numPr>
        <w:spacing w:line="600" w:lineRule="exact"/>
        <w:ind w:firstLine="640"/>
        <w:outlineLvl w:val="1"/>
        <w:rPr>
          <w:rStyle w:val="26"/>
          <w:rFonts w:ascii="黑体" w:hAnsi="黑体" w:eastAsia="黑体"/>
          <w:bCs w:val="0"/>
          <w:color w:val="auto"/>
        </w:rPr>
      </w:pPr>
      <w:bookmarkStart w:id="58" w:name="_Toc1240"/>
      <w:bookmarkStart w:id="59" w:name="_Toc15396611"/>
      <w:bookmarkStart w:id="60" w:name="_Toc15377219"/>
      <w:r>
        <w:rPr>
          <w:rStyle w:val="26"/>
          <w:rFonts w:hint="eastAsia" w:ascii="黑体" w:hAnsi="黑体" w:eastAsia="黑体"/>
          <w:bCs w:val="0"/>
          <w:color w:val="auto"/>
        </w:rPr>
        <w:t>国有资本经营预算支出决算情况说明</w:t>
      </w:r>
      <w:bookmarkEnd w:id="58"/>
      <w:bookmarkEnd w:id="59"/>
      <w:bookmarkEnd w:id="60"/>
    </w:p>
    <w:p>
      <w:pPr>
        <w:spacing w:line="600" w:lineRule="exact"/>
        <w:ind w:firstLine="640"/>
        <w:rPr>
          <w:rFonts w:ascii="仿宋" w:hAnsi="仿宋" w:eastAsia="仿宋" w:cs="仿宋"/>
          <w:color w:val="auto"/>
          <w:sz w:val="32"/>
          <w:szCs w:val="32"/>
        </w:rPr>
      </w:pPr>
      <w:r>
        <w:rPr>
          <w:rFonts w:hint="eastAsia" w:ascii="仿宋" w:hAnsi="仿宋" w:eastAsia="仿宋" w:cs="仿宋"/>
          <w:color w:val="auto"/>
          <w:sz w:val="32"/>
          <w:szCs w:val="32"/>
        </w:rPr>
        <w:t>2021年国有资本经营预算财政拨款支出0万元。</w:t>
      </w:r>
    </w:p>
    <w:p>
      <w:pPr>
        <w:numPr>
          <w:ilvl w:val="0"/>
          <w:numId w:val="1"/>
        </w:numPr>
        <w:spacing w:line="600" w:lineRule="exact"/>
        <w:ind w:firstLine="640"/>
        <w:outlineLvl w:val="1"/>
        <w:rPr>
          <w:rStyle w:val="26"/>
          <w:rFonts w:ascii="黑体" w:hAnsi="黑体" w:eastAsia="黑体"/>
          <w:bCs w:val="0"/>
          <w:color w:val="auto"/>
        </w:rPr>
      </w:pPr>
      <w:bookmarkStart w:id="61" w:name="_Toc15396612"/>
      <w:bookmarkStart w:id="62" w:name="_Toc15377221"/>
      <w:bookmarkStart w:id="63" w:name="_Toc7348"/>
      <w:r>
        <w:rPr>
          <w:rStyle w:val="26"/>
          <w:rFonts w:hint="eastAsia" w:ascii="黑体" w:hAnsi="黑体" w:eastAsia="黑体"/>
          <w:bCs w:val="0"/>
          <w:color w:val="auto"/>
        </w:rPr>
        <w:t>其他重要事项的情况说明</w:t>
      </w:r>
      <w:bookmarkEnd w:id="61"/>
      <w:bookmarkEnd w:id="62"/>
      <w:bookmarkEnd w:id="63"/>
    </w:p>
    <w:p>
      <w:pPr>
        <w:spacing w:line="600" w:lineRule="exact"/>
        <w:ind w:firstLine="642" w:firstLineChars="200"/>
        <w:outlineLvl w:val="2"/>
        <w:rPr>
          <w:rFonts w:ascii="楷体_GB2312" w:hAnsi="楷体_GB2312" w:eastAsia="楷体_GB2312" w:cs="楷体_GB2312"/>
          <w:b/>
          <w:color w:val="auto"/>
          <w:sz w:val="32"/>
          <w:szCs w:val="32"/>
        </w:rPr>
      </w:pPr>
      <w:bookmarkStart w:id="64" w:name="_Toc15377222"/>
      <w:r>
        <w:rPr>
          <w:rFonts w:hint="eastAsia" w:ascii="楷体_GB2312" w:hAnsi="楷体_GB2312" w:eastAsia="楷体_GB2312" w:cs="楷体_GB2312"/>
          <w:b/>
          <w:color w:val="auto"/>
          <w:sz w:val="32"/>
          <w:szCs w:val="32"/>
        </w:rPr>
        <w:t>（一）机关运行经费支出情况</w:t>
      </w:r>
      <w:bookmarkEnd w:id="64"/>
    </w:p>
    <w:p>
      <w:pPr>
        <w:spacing w:line="600" w:lineRule="exact"/>
        <w:ind w:firstLine="640" w:firstLineChars="200"/>
        <w:rPr>
          <w:rFonts w:ascii="仿宋_GB2312" w:eastAsia="仿宋_GB2312"/>
          <w:color w:val="auto"/>
          <w:sz w:val="32"/>
          <w:szCs w:val="32"/>
        </w:rPr>
      </w:pPr>
      <w:r>
        <w:rPr>
          <w:rFonts w:hint="eastAsia" w:ascii="仿宋" w:hAnsi="仿宋" w:eastAsia="仿宋" w:cs="仿宋"/>
          <w:color w:val="auto"/>
          <w:sz w:val="32"/>
          <w:szCs w:val="32"/>
        </w:rPr>
        <w:t>四川商务职业学院为事业单位，无机关运行经费。</w:t>
      </w:r>
    </w:p>
    <w:p>
      <w:pPr>
        <w:spacing w:line="600" w:lineRule="exact"/>
        <w:ind w:firstLine="642" w:firstLineChars="200"/>
        <w:outlineLvl w:val="2"/>
        <w:rPr>
          <w:rFonts w:ascii="楷体_GB2312" w:hAnsi="楷体_GB2312" w:eastAsia="楷体_GB2312" w:cs="楷体_GB2312"/>
          <w:b/>
          <w:color w:val="auto"/>
          <w:sz w:val="32"/>
          <w:szCs w:val="32"/>
        </w:rPr>
      </w:pPr>
      <w:bookmarkStart w:id="65" w:name="_Toc15377223"/>
      <w:r>
        <w:rPr>
          <w:rFonts w:hint="eastAsia" w:ascii="楷体_GB2312" w:hAnsi="楷体_GB2312" w:eastAsia="楷体_GB2312" w:cs="楷体_GB2312"/>
          <w:b/>
          <w:color w:val="auto"/>
          <w:sz w:val="32"/>
          <w:szCs w:val="32"/>
        </w:rPr>
        <w:t>（二）政府采购支出情况</w:t>
      </w:r>
      <w:bookmarkEnd w:id="65"/>
    </w:p>
    <w:p>
      <w:pPr>
        <w:spacing w:line="600" w:lineRule="exact"/>
        <w:ind w:firstLine="640" w:firstLineChars="200"/>
        <w:rPr>
          <w:rFonts w:ascii="仿宋" w:hAnsi="仿宋" w:eastAsia="仿宋" w:cs="仿宋"/>
          <w:sz w:val="32"/>
          <w:szCs w:val="32"/>
        </w:rPr>
      </w:pPr>
      <w:r>
        <w:rPr>
          <w:rFonts w:hint="eastAsia" w:ascii="仿宋" w:hAnsi="仿宋" w:eastAsia="仿宋" w:cs="仿宋"/>
          <w:color w:val="auto"/>
          <w:sz w:val="32"/>
          <w:szCs w:val="32"/>
        </w:rPr>
        <w:t>2021年，四川商务职业学院政府采购支出总额</w:t>
      </w:r>
      <w:r>
        <w:rPr>
          <w:rFonts w:hint="eastAsia" w:ascii="仿宋" w:hAnsi="仿宋" w:eastAsia="仿宋" w:cs="仿宋"/>
          <w:sz w:val="32"/>
          <w:szCs w:val="32"/>
        </w:rPr>
        <w:t>538.80万元，其中：政府采购货物支出337.30万元、政府采购工程支出0万元、政府采购服务支出201.5万元。主要用于教学设备购置、消防及维修工程、物业管理服务及车辆运维服务等。授予中小企业合同金额113.89万元，占政府采购支出总额的21.14%，其中：授予小微企业合同金额113.89万元，占政府采购支出总额的21.14%。</w:t>
      </w:r>
    </w:p>
    <w:p>
      <w:pPr>
        <w:spacing w:line="600" w:lineRule="exact"/>
        <w:ind w:firstLine="642" w:firstLineChars="200"/>
        <w:outlineLvl w:val="2"/>
        <w:rPr>
          <w:rFonts w:ascii="楷体_GB2312" w:hAnsi="楷体_GB2312" w:eastAsia="楷体_GB2312" w:cs="楷体_GB2312"/>
          <w:b/>
          <w:sz w:val="32"/>
          <w:szCs w:val="32"/>
        </w:rPr>
      </w:pPr>
      <w:bookmarkStart w:id="66" w:name="_Toc15377224"/>
      <w:r>
        <w:rPr>
          <w:rFonts w:hint="eastAsia" w:ascii="楷体_GB2312" w:hAnsi="楷体_GB2312" w:eastAsia="楷体_GB2312" w:cs="楷体_GB2312"/>
          <w:b/>
          <w:sz w:val="32"/>
          <w:szCs w:val="32"/>
        </w:rPr>
        <w:t>（三）国有资产占有使用情况</w:t>
      </w:r>
      <w:bookmarkEnd w:id="66"/>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截至2021年12月31日，四川商务职业学院共有车辆9辆，其中：主要领导干部用车0辆、机要通信用车0辆、应急保障用车1辆、其他用车8辆，其他用车主要是用于教职工交通车及学生活动用车。单价50万元以上通用设备5台（套），单价100万元以上专用设备0台（套）。</w:t>
      </w:r>
    </w:p>
    <w:p>
      <w:pPr>
        <w:spacing w:line="600" w:lineRule="exact"/>
        <w:ind w:firstLine="642" w:firstLineChars="200"/>
        <w:outlineLvl w:val="2"/>
        <w:rPr>
          <w:rFonts w:ascii="楷体_GB2312" w:hAnsi="楷体_GB2312" w:eastAsia="楷体_GB2312" w:cs="楷体_GB2312"/>
          <w:b/>
          <w:sz w:val="32"/>
          <w:szCs w:val="32"/>
        </w:rPr>
      </w:pPr>
      <w:r>
        <w:rPr>
          <w:rFonts w:hint="eastAsia" w:ascii="楷体_GB2312" w:hAnsi="楷体_GB2312" w:eastAsia="楷体_GB2312" w:cs="楷体_GB2312"/>
          <w:b/>
          <w:sz w:val="32"/>
          <w:szCs w:val="32"/>
        </w:rPr>
        <w:t>（四）预算绩效管理情况</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根据预算绩效管理要求，本单位在2021年度预算编制阶段，组织对高压线入地工程、深度贫困县人才振兴工程等2个项目开展了预算事前绩效评估，对16个项目编制了绩效目标，预算执行过程中，选取16个项目开展绩效监控，年终执行完毕后，对16个项目开展了绩效自评，2021年特定目标类部门预算项目绩效目标自评表见附件（第四部分）。</w:t>
      </w:r>
    </w:p>
    <w:p>
      <w:pPr>
        <w:widowControl/>
        <w:jc w:val="left"/>
        <w:rPr>
          <w:rFonts w:ascii="仿宋_GB2312" w:eastAsia="仿宋_GB2312"/>
          <w:bCs/>
          <w:sz w:val="32"/>
          <w:szCs w:val="32"/>
        </w:rPr>
      </w:pPr>
      <w:r>
        <w:rPr>
          <w:rFonts w:ascii="仿宋_GB2312" w:eastAsia="仿宋_GB2312"/>
          <w:bCs/>
          <w:sz w:val="32"/>
          <w:szCs w:val="32"/>
        </w:rPr>
        <w:br w:type="page"/>
      </w:r>
    </w:p>
    <w:p>
      <w:pPr>
        <w:numPr>
          <w:ilvl w:val="0"/>
          <w:numId w:val="2"/>
        </w:numPr>
        <w:spacing w:line="600" w:lineRule="exact"/>
        <w:ind w:firstLine="660" w:firstLineChars="150"/>
        <w:jc w:val="center"/>
        <w:outlineLvl w:val="0"/>
        <w:rPr>
          <w:rStyle w:val="25"/>
          <w:rFonts w:ascii="黑体" w:hAnsi="黑体" w:eastAsia="黑体"/>
          <w:b w:val="0"/>
        </w:rPr>
      </w:pPr>
      <w:bookmarkStart w:id="67" w:name="_Toc15377225"/>
      <w:bookmarkStart w:id="68" w:name="_Toc23399"/>
      <w:bookmarkStart w:id="69" w:name="_Toc15396613"/>
      <w:r>
        <w:rPr>
          <w:rFonts w:hint="eastAsia" w:ascii="黑体" w:hAnsi="黑体" w:eastAsia="黑体"/>
          <w:sz w:val="44"/>
          <w:szCs w:val="44"/>
        </w:rPr>
        <w:t>名</w:t>
      </w:r>
      <w:r>
        <w:rPr>
          <w:rStyle w:val="25"/>
          <w:rFonts w:hint="eastAsia" w:ascii="黑体" w:hAnsi="黑体" w:eastAsia="黑体"/>
          <w:b w:val="0"/>
        </w:rPr>
        <w:t>词解释</w:t>
      </w:r>
      <w:bookmarkEnd w:id="67"/>
      <w:bookmarkEnd w:id="68"/>
      <w:bookmarkEnd w:id="69"/>
    </w:p>
    <w:p>
      <w:pPr>
        <w:pStyle w:val="23"/>
        <w:spacing w:line="560" w:lineRule="exact"/>
        <w:ind w:firstLine="640" w:firstLineChars="200"/>
        <w:rPr>
          <w:rFonts w:hAnsi="仿宋"/>
          <w:color w:val="auto"/>
          <w:sz w:val="32"/>
          <w:szCs w:val="32"/>
        </w:rPr>
      </w:pPr>
      <w:r>
        <w:rPr>
          <w:rFonts w:hint="eastAsia" w:hAnsi="仿宋"/>
          <w:color w:val="auto"/>
          <w:sz w:val="32"/>
          <w:szCs w:val="32"/>
        </w:rPr>
        <w:t>1.财政拨款收入：指单位从同级财政部门取得的财政预算资金。</w:t>
      </w:r>
    </w:p>
    <w:p>
      <w:pPr>
        <w:pStyle w:val="23"/>
        <w:spacing w:line="560" w:lineRule="exact"/>
        <w:ind w:firstLine="640" w:firstLineChars="200"/>
        <w:rPr>
          <w:rFonts w:hAnsi="仿宋"/>
          <w:color w:val="auto"/>
          <w:sz w:val="32"/>
          <w:szCs w:val="32"/>
        </w:rPr>
      </w:pPr>
      <w:r>
        <w:rPr>
          <w:rFonts w:hint="eastAsia" w:hAnsi="仿宋"/>
          <w:color w:val="auto"/>
          <w:sz w:val="32"/>
          <w:szCs w:val="32"/>
        </w:rPr>
        <w:t>2.事业收入：指单位学费及住宿费收入。</w:t>
      </w:r>
    </w:p>
    <w:p>
      <w:pPr>
        <w:pStyle w:val="23"/>
        <w:spacing w:line="560" w:lineRule="exact"/>
        <w:ind w:firstLine="640" w:firstLineChars="200"/>
        <w:rPr>
          <w:rFonts w:hAnsi="仿宋"/>
          <w:color w:val="auto"/>
          <w:sz w:val="32"/>
          <w:szCs w:val="32"/>
        </w:rPr>
      </w:pPr>
      <w:r>
        <w:rPr>
          <w:rFonts w:hint="eastAsia" w:hAnsi="仿宋"/>
          <w:color w:val="auto"/>
          <w:sz w:val="32"/>
          <w:szCs w:val="32"/>
        </w:rPr>
        <w:t>3.经营收入：指事业单位在专业业务活动及其辅助活动之外开展非独立核算经营活动取得的收入。</w:t>
      </w:r>
    </w:p>
    <w:p>
      <w:pPr>
        <w:pStyle w:val="23"/>
        <w:spacing w:line="560" w:lineRule="exact"/>
        <w:ind w:firstLine="640" w:firstLineChars="200"/>
        <w:rPr>
          <w:rFonts w:hAnsi="仿宋"/>
          <w:color w:val="auto"/>
          <w:sz w:val="32"/>
          <w:szCs w:val="32"/>
        </w:rPr>
      </w:pPr>
      <w:r>
        <w:rPr>
          <w:rFonts w:hint="eastAsia" w:hAnsi="仿宋"/>
          <w:color w:val="auto"/>
          <w:sz w:val="32"/>
          <w:szCs w:val="32"/>
        </w:rPr>
        <w:t>4.其他收入：指单位取得的除上述收入以外的各项收入。主要是天猫校园超市合作收入等。</w:t>
      </w:r>
    </w:p>
    <w:p>
      <w:pPr>
        <w:pStyle w:val="23"/>
        <w:spacing w:line="560" w:lineRule="exact"/>
        <w:ind w:firstLine="640" w:firstLineChars="200"/>
        <w:rPr>
          <w:rFonts w:hAnsi="仿宋"/>
          <w:color w:val="auto"/>
          <w:sz w:val="32"/>
          <w:szCs w:val="32"/>
        </w:rPr>
      </w:pPr>
      <w:r>
        <w:rPr>
          <w:rFonts w:hint="eastAsia" w:hAnsi="仿宋"/>
          <w:color w:val="auto"/>
          <w:sz w:val="32"/>
          <w:szCs w:val="32"/>
        </w:rPr>
        <w:t>5.使用非财政拨款结余：指事业单位使用以前年度积累的非财政拨款结余弥补当年收支差额的金额。</w:t>
      </w:r>
    </w:p>
    <w:p>
      <w:pPr>
        <w:pStyle w:val="23"/>
        <w:spacing w:line="560" w:lineRule="exact"/>
        <w:ind w:firstLine="640" w:firstLineChars="200"/>
        <w:rPr>
          <w:rFonts w:hAnsi="仿宋"/>
          <w:color w:val="auto"/>
          <w:sz w:val="32"/>
          <w:szCs w:val="32"/>
        </w:rPr>
      </w:pPr>
      <w:r>
        <w:rPr>
          <w:rFonts w:hint="eastAsia" w:hAnsi="仿宋"/>
          <w:color w:val="auto"/>
          <w:sz w:val="32"/>
          <w:szCs w:val="32"/>
        </w:rPr>
        <w:t>6.年初结转和结余：指以前年度尚未完成、结转到本年按有关规定继续使用的资金。</w:t>
      </w:r>
    </w:p>
    <w:p>
      <w:pPr>
        <w:pStyle w:val="23"/>
        <w:spacing w:line="560" w:lineRule="exact"/>
        <w:ind w:firstLine="640" w:firstLineChars="200"/>
        <w:rPr>
          <w:rFonts w:hAnsi="仿宋"/>
          <w:color w:val="auto"/>
          <w:sz w:val="32"/>
          <w:szCs w:val="32"/>
        </w:rPr>
      </w:pPr>
      <w:r>
        <w:rPr>
          <w:rFonts w:hint="eastAsia" w:hAnsi="仿宋"/>
          <w:color w:val="auto"/>
          <w:sz w:val="32"/>
          <w:szCs w:val="32"/>
        </w:rPr>
        <w:t>7.结余分配：指事业单位按照会计制度规定缴纳的所得税、提取的专用结余以及转入非财政拨款结余的金额等。</w:t>
      </w:r>
    </w:p>
    <w:p>
      <w:pPr>
        <w:pStyle w:val="23"/>
        <w:spacing w:line="560" w:lineRule="exact"/>
        <w:ind w:firstLine="640" w:firstLineChars="200"/>
        <w:rPr>
          <w:rFonts w:hAnsi="仿宋"/>
          <w:color w:val="auto"/>
          <w:sz w:val="32"/>
          <w:szCs w:val="32"/>
        </w:rPr>
      </w:pPr>
      <w:r>
        <w:rPr>
          <w:rFonts w:hint="eastAsia" w:hAnsi="仿宋"/>
          <w:color w:val="auto"/>
          <w:sz w:val="32"/>
          <w:szCs w:val="32"/>
        </w:rPr>
        <w:t>8.年末结转和结余：指单位按有关规定结转到下年或以后年度继续使用的资金。</w:t>
      </w:r>
    </w:p>
    <w:p>
      <w:pPr>
        <w:ind w:firstLine="640" w:firstLineChars="200"/>
        <w:rPr>
          <w:rFonts w:ascii="仿宋" w:hAnsi="仿宋" w:eastAsia="仿宋" w:cs="仿宋"/>
          <w:kern w:val="0"/>
          <w:sz w:val="32"/>
          <w:szCs w:val="32"/>
        </w:rPr>
      </w:pPr>
      <w:r>
        <w:rPr>
          <w:rFonts w:hint="eastAsia" w:ascii="仿宋" w:hAnsi="仿宋" w:eastAsia="仿宋" w:cs="仿宋"/>
          <w:kern w:val="0"/>
          <w:sz w:val="32"/>
          <w:szCs w:val="32"/>
        </w:rPr>
        <w:t>9.教育支出（类）职业教育（款）高等职业教育（项）： 指四川商务职业学院的基本支出及项目支出。</w:t>
      </w:r>
    </w:p>
    <w:p>
      <w:pPr>
        <w:pStyle w:val="2"/>
        <w:spacing w:before="93"/>
        <w:ind w:firstLine="640" w:firstLineChars="200"/>
        <w:jc w:val="left"/>
        <w:rPr>
          <w:rFonts w:ascii="仿宋" w:hAnsi="仿宋" w:eastAsia="仿宋" w:cs="仿宋"/>
          <w:sz w:val="32"/>
          <w:szCs w:val="32"/>
        </w:rPr>
      </w:pPr>
      <w:r>
        <w:rPr>
          <w:rFonts w:hint="eastAsia" w:ascii="仿宋" w:hAnsi="仿宋" w:eastAsia="仿宋" w:cs="仿宋"/>
          <w:sz w:val="32"/>
          <w:szCs w:val="32"/>
        </w:rPr>
        <w:t>10.社会保障和就业支出（类）行政事业单位养老支出</w:t>
      </w:r>
    </w:p>
    <w:p>
      <w:pPr>
        <w:pStyle w:val="2"/>
        <w:spacing w:before="93"/>
        <w:jc w:val="left"/>
        <w:rPr>
          <w:rFonts w:ascii="仿宋" w:hAnsi="仿宋" w:eastAsia="仿宋" w:cs="仿宋"/>
          <w:sz w:val="32"/>
          <w:szCs w:val="32"/>
        </w:rPr>
      </w:pPr>
      <w:r>
        <w:rPr>
          <w:rFonts w:hint="eastAsia" w:ascii="仿宋" w:hAnsi="仿宋" w:eastAsia="仿宋" w:cs="仿宋"/>
          <w:sz w:val="32"/>
          <w:szCs w:val="32"/>
        </w:rPr>
        <w:t>（款）事业单位离退休（项）：单位开展的离退休经费支出。</w:t>
      </w:r>
    </w:p>
    <w:p>
      <w:pPr>
        <w:ind w:firstLine="640" w:firstLineChars="200"/>
        <w:rPr>
          <w:rFonts w:ascii="仿宋" w:hAnsi="仿宋" w:eastAsia="仿宋" w:cs="仿宋"/>
          <w:kern w:val="0"/>
          <w:sz w:val="32"/>
          <w:szCs w:val="32"/>
        </w:rPr>
      </w:pPr>
      <w:r>
        <w:rPr>
          <w:rFonts w:hint="eastAsia" w:ascii="仿宋" w:hAnsi="仿宋" w:eastAsia="仿宋" w:cs="仿宋"/>
          <w:kern w:val="0"/>
          <w:sz w:val="32"/>
          <w:szCs w:val="32"/>
        </w:rPr>
        <w:t>11.卫生健康（类）其他卫生健康支出（款）其他卫生健康支出（项）:单位用于学生重大传染病经费。</w:t>
      </w:r>
    </w:p>
    <w:p>
      <w:pPr>
        <w:ind w:firstLine="640" w:firstLineChars="200"/>
        <w:rPr>
          <w:rFonts w:ascii="仿宋" w:hAnsi="仿宋" w:eastAsia="仿宋" w:cs="仿宋"/>
          <w:sz w:val="32"/>
          <w:szCs w:val="32"/>
        </w:rPr>
      </w:pPr>
      <w:r>
        <w:rPr>
          <w:rFonts w:hint="eastAsia" w:ascii="仿宋" w:hAnsi="仿宋" w:eastAsia="仿宋" w:cs="仿宋"/>
          <w:sz w:val="32"/>
          <w:szCs w:val="32"/>
        </w:rPr>
        <w:t>12.基本支出：指为保障机构正常运转、完成日常工作任务而发生的人员支出和公用支出。</w:t>
      </w:r>
    </w:p>
    <w:p>
      <w:pPr>
        <w:ind w:firstLine="640" w:firstLineChars="200"/>
        <w:rPr>
          <w:rFonts w:ascii="仿宋" w:hAnsi="仿宋" w:eastAsia="仿宋" w:cs="仿宋"/>
          <w:sz w:val="32"/>
          <w:szCs w:val="32"/>
        </w:rPr>
      </w:pPr>
      <w:r>
        <w:rPr>
          <w:rFonts w:hint="eastAsia" w:ascii="仿宋" w:hAnsi="仿宋" w:eastAsia="仿宋" w:cs="仿宋"/>
          <w:sz w:val="32"/>
          <w:szCs w:val="32"/>
        </w:rPr>
        <w:t>13.项目支出：指在基本支出之外为完成特定行政任务和事业发展目标所发生的支出。</w:t>
      </w:r>
    </w:p>
    <w:p>
      <w:pPr>
        <w:ind w:firstLine="640" w:firstLineChars="200"/>
        <w:rPr>
          <w:rFonts w:ascii="仿宋" w:hAnsi="仿宋" w:eastAsia="仿宋" w:cs="仿宋"/>
          <w:sz w:val="32"/>
          <w:szCs w:val="32"/>
        </w:rPr>
      </w:pPr>
      <w:r>
        <w:rPr>
          <w:rFonts w:hint="eastAsia" w:ascii="仿宋" w:hAnsi="仿宋" w:eastAsia="仿宋" w:cs="仿宋"/>
          <w:sz w:val="32"/>
          <w:szCs w:val="32"/>
        </w:rPr>
        <w:t>14.经营支出：指事业单位在专业业务活动及其辅助活动之外开展非独立核算经营活动发生的支出。</w:t>
      </w:r>
    </w:p>
    <w:p>
      <w:pPr>
        <w:pStyle w:val="23"/>
        <w:spacing w:line="560" w:lineRule="exact"/>
        <w:ind w:firstLine="640" w:firstLineChars="200"/>
        <w:rPr>
          <w:rFonts w:hAnsi="仿宋"/>
          <w:color w:val="auto"/>
          <w:sz w:val="32"/>
          <w:szCs w:val="32"/>
        </w:rPr>
      </w:pPr>
      <w:r>
        <w:rPr>
          <w:rFonts w:hint="eastAsia" w:hAnsi="仿宋"/>
          <w:color w:val="auto"/>
          <w:kern w:val="2"/>
          <w:sz w:val="32"/>
          <w:szCs w:val="32"/>
        </w:rPr>
        <w:t>15.</w:t>
      </w:r>
      <w:r>
        <w:rPr>
          <w:rFonts w:hint="eastAsia" w:hAnsi="仿宋"/>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560" w:lineRule="exact"/>
        <w:ind w:firstLine="640" w:firstLineChars="200"/>
        <w:rPr>
          <w:rFonts w:hAnsi="仿宋"/>
          <w:color w:val="FF0000"/>
          <w:sz w:val="32"/>
          <w:szCs w:val="32"/>
        </w:rPr>
      </w:pPr>
    </w:p>
    <w:p>
      <w:pPr>
        <w:ind w:firstLine="642" w:firstLineChars="200"/>
        <w:rPr>
          <w:rFonts w:ascii="仿宋" w:hAnsi="仿宋" w:eastAsia="仿宋" w:cs="仿宋"/>
          <w:b/>
          <w:color w:val="FF0000"/>
          <w:sz w:val="32"/>
          <w:szCs w:val="32"/>
        </w:rPr>
      </w:pPr>
    </w:p>
    <w:p>
      <w:pPr>
        <w:spacing w:line="600" w:lineRule="exact"/>
        <w:jc w:val="center"/>
        <w:outlineLvl w:val="0"/>
        <w:rPr>
          <w:rStyle w:val="25"/>
          <w:rFonts w:ascii="黑体" w:hAnsi="黑体" w:eastAsia="黑体"/>
          <w:b w:val="0"/>
        </w:rPr>
      </w:pPr>
      <w:bookmarkStart w:id="70" w:name="_Toc15377226"/>
      <w:r>
        <w:rPr>
          <w:rFonts w:ascii="宋体"/>
          <w:b/>
          <w:sz w:val="44"/>
          <w:szCs w:val="44"/>
        </w:rPr>
        <w:br w:type="page"/>
      </w:r>
      <w:bookmarkStart w:id="71" w:name="_Toc26088"/>
      <w:bookmarkStart w:id="72" w:name="_Toc15396614"/>
      <w:r>
        <w:rPr>
          <w:rFonts w:hint="eastAsia" w:ascii="黑体" w:hAnsi="黑体" w:eastAsia="黑体"/>
          <w:sz w:val="44"/>
          <w:szCs w:val="44"/>
        </w:rPr>
        <w:t>第</w:t>
      </w:r>
      <w:r>
        <w:rPr>
          <w:rStyle w:val="25"/>
          <w:rFonts w:hint="eastAsia" w:ascii="黑体" w:hAnsi="黑体" w:eastAsia="黑体"/>
          <w:b w:val="0"/>
        </w:rPr>
        <w:t>四部分 附件</w:t>
      </w:r>
      <w:bookmarkEnd w:id="71"/>
      <w:bookmarkEnd w:id="72"/>
    </w:p>
    <w:tbl>
      <w:tblPr>
        <w:tblStyle w:val="13"/>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1976"/>
        <w:gridCol w:w="818"/>
        <w:gridCol w:w="2070"/>
        <w:gridCol w:w="1078"/>
        <w:gridCol w:w="1224"/>
        <w:gridCol w:w="2409"/>
        <w:gridCol w:w="236"/>
      </w:tblGrid>
      <w:tr>
        <w:tblPrEx>
          <w:tblCellMar>
            <w:top w:w="0" w:type="dxa"/>
            <w:left w:w="108" w:type="dxa"/>
            <w:bottom w:w="0" w:type="dxa"/>
            <w:right w:w="108" w:type="dxa"/>
          </w:tblCellMar>
        </w:tblPrEx>
        <w:trPr>
          <w:trHeight w:val="675" w:hRule="atLeast"/>
        </w:trPr>
        <w:tc>
          <w:tcPr>
            <w:tcW w:w="9575" w:type="dxa"/>
            <w:gridSpan w:val="6"/>
            <w:tcBorders>
              <w:top w:val="nil"/>
              <w:left w:val="nil"/>
              <w:bottom w:val="nil"/>
              <w:right w:val="nil"/>
            </w:tcBorders>
            <w:shd w:val="clear" w:color="auto" w:fill="auto"/>
            <w:vAlign w:val="center"/>
          </w:tcPr>
          <w:p>
            <w:pPr>
              <w:widowControl/>
              <w:jc w:val="both"/>
              <w:textAlignment w:val="center"/>
              <w:rPr>
                <w:rFonts w:ascii="宋体" w:hAnsi="宋体" w:cs="宋体"/>
                <w:b/>
                <w:color w:val="000000"/>
                <w:sz w:val="32"/>
                <w:szCs w:val="32"/>
              </w:rPr>
            </w:pPr>
            <w:bookmarkStart w:id="73" w:name="_Toc15396618"/>
            <w:r>
              <w:rPr>
                <w:rFonts w:hint="eastAsia" w:ascii="宋体" w:hAnsi="宋体" w:cs="宋体"/>
                <w:b/>
                <w:color w:val="000000"/>
                <w:sz w:val="32"/>
                <w:szCs w:val="32"/>
              </w:rPr>
              <w:t>2021年100万元以上（含）特定目标类部门预算项目绩效目标自评</w:t>
            </w:r>
          </w:p>
          <w:p>
            <w:pPr>
              <w:widowControl/>
              <w:ind w:firstLine="2393" w:firstLineChars="745"/>
              <w:jc w:val="left"/>
              <w:textAlignment w:val="center"/>
              <w:rPr>
                <w:rFonts w:ascii="宋体" w:hAnsi="宋体" w:cs="宋体"/>
                <w:b/>
                <w:color w:val="000000"/>
                <w:sz w:val="32"/>
                <w:szCs w:val="32"/>
              </w:rPr>
            </w:pPr>
            <w:r>
              <w:rPr>
                <w:rFonts w:hint="eastAsia" w:ascii="宋体" w:hAnsi="宋体" w:cs="宋体"/>
                <w:b/>
                <w:color w:val="000000"/>
                <w:sz w:val="32"/>
                <w:szCs w:val="32"/>
              </w:rPr>
              <w:t>（</w:t>
            </w:r>
            <w:r>
              <w:rPr>
                <w:rFonts w:hint="eastAsia" w:ascii="宋体" w:hAnsi="宋体" w:cs="宋体"/>
                <w:b/>
                <w:sz w:val="32"/>
                <w:szCs w:val="32"/>
              </w:rPr>
              <w:t>归还融资租赁贷款</w:t>
            </w:r>
            <w:r>
              <w:rPr>
                <w:rFonts w:hint="eastAsia" w:ascii="宋体" w:hAnsi="宋体" w:cs="宋体"/>
                <w:b/>
                <w:color w:val="000000"/>
                <w:sz w:val="32"/>
                <w:szCs w:val="32"/>
              </w:rPr>
              <w:t>项目）</w:t>
            </w:r>
          </w:p>
        </w:tc>
        <w:tc>
          <w:tcPr>
            <w:tcW w:w="236" w:type="dxa"/>
            <w:tcBorders>
              <w:top w:val="nil"/>
              <w:left w:val="nil"/>
              <w:bottom w:val="nil"/>
              <w:right w:val="nil"/>
            </w:tcBorders>
            <w:shd w:val="clear" w:color="auto" w:fill="auto"/>
            <w:vAlign w:val="center"/>
          </w:tcPr>
          <w:p>
            <w:pPr>
              <w:widowControl/>
              <w:jc w:val="center"/>
              <w:textAlignment w:val="center"/>
              <w:rPr>
                <w:rFonts w:ascii="宋体" w:hAnsi="宋体" w:cs="宋体"/>
                <w:b/>
                <w:kern w:val="0"/>
                <w:sz w:val="32"/>
                <w:szCs w:val="32"/>
              </w:rPr>
            </w:pPr>
          </w:p>
        </w:tc>
      </w:tr>
      <w:tr>
        <w:tblPrEx>
          <w:tblCellMar>
            <w:top w:w="0" w:type="dxa"/>
            <w:left w:w="108" w:type="dxa"/>
            <w:bottom w:w="0" w:type="dxa"/>
            <w:right w:w="108" w:type="dxa"/>
          </w:tblCellMar>
        </w:tblPrEx>
        <w:trPr>
          <w:gridAfter w:val="1"/>
          <w:wAfter w:w="236" w:type="dxa"/>
          <w:trHeight w:val="254" w:hRule="atLeast"/>
        </w:trPr>
        <w:tc>
          <w:tcPr>
            <w:tcW w:w="27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主管部门及代码</w:t>
            </w:r>
          </w:p>
        </w:tc>
        <w:tc>
          <w:tcPr>
            <w:tcW w:w="3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四川省商务厅</w:t>
            </w:r>
            <w:r>
              <w:rPr>
                <w:rFonts w:hint="eastAsia" w:ascii="仿宋_GB2312" w:hAnsi="仿宋_GB2312" w:eastAsia="仿宋_GB2312" w:cs="仿宋_GB2312"/>
                <w:color w:val="000000" w:themeColor="text1"/>
                <w:sz w:val="20"/>
                <w:szCs w:val="20"/>
                <w14:textFill>
                  <w14:solidFill>
                    <w14:schemeClr w14:val="tx1"/>
                  </w14:solidFill>
                </w14:textFill>
              </w:rPr>
              <w:t>322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实施单位</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四川商务职业学院</w:t>
            </w:r>
          </w:p>
        </w:tc>
      </w:tr>
      <w:tr>
        <w:tblPrEx>
          <w:tblCellMar>
            <w:top w:w="0" w:type="dxa"/>
            <w:left w:w="108" w:type="dxa"/>
            <w:bottom w:w="0" w:type="dxa"/>
            <w:right w:w="108" w:type="dxa"/>
          </w:tblCellMar>
        </w:tblPrEx>
        <w:trPr>
          <w:gridAfter w:val="1"/>
          <w:wAfter w:w="236" w:type="dxa"/>
          <w:trHeight w:val="341" w:hRule="atLeast"/>
        </w:trPr>
        <w:tc>
          <w:tcPr>
            <w:tcW w:w="279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项目预算</w:t>
            </w:r>
          </w:p>
          <w:p>
            <w:pPr>
              <w:widowControl/>
              <w:spacing w:line="320" w:lineRule="exact"/>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执行情况</w:t>
            </w:r>
          </w:p>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（万元）</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 xml:space="preserve"> 预算数：</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210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 xml:space="preserve"> 执行数：</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204.88</w:t>
            </w:r>
          </w:p>
        </w:tc>
      </w:tr>
      <w:tr>
        <w:tblPrEx>
          <w:tblCellMar>
            <w:top w:w="0" w:type="dxa"/>
            <w:left w:w="108" w:type="dxa"/>
            <w:bottom w:w="0" w:type="dxa"/>
            <w:right w:w="108" w:type="dxa"/>
          </w:tblCellMar>
        </w:tblPrEx>
        <w:trPr>
          <w:gridAfter w:val="1"/>
          <w:wAfter w:w="236" w:type="dxa"/>
          <w:trHeight w:val="555" w:hRule="atLeast"/>
        </w:trPr>
        <w:tc>
          <w:tcPr>
            <w:tcW w:w="27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其中：</w:t>
            </w:r>
          </w:p>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财政拨款</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sz w:val="20"/>
                <w:szCs w:val="20"/>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其中：</w:t>
            </w:r>
          </w:p>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财政拨款</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仿宋_GB2312" w:hAnsi="仿宋_GB2312" w:eastAsia="仿宋_GB2312" w:cs="仿宋_GB2312"/>
                <w:sz w:val="20"/>
                <w:szCs w:val="20"/>
              </w:rPr>
            </w:pPr>
          </w:p>
        </w:tc>
      </w:tr>
      <w:tr>
        <w:tblPrEx>
          <w:tblCellMar>
            <w:top w:w="0" w:type="dxa"/>
            <w:left w:w="108" w:type="dxa"/>
            <w:bottom w:w="0" w:type="dxa"/>
            <w:right w:w="108" w:type="dxa"/>
          </w:tblCellMar>
        </w:tblPrEx>
        <w:trPr>
          <w:gridAfter w:val="1"/>
          <w:wAfter w:w="236" w:type="dxa"/>
          <w:trHeight w:val="341" w:hRule="atLeast"/>
        </w:trPr>
        <w:tc>
          <w:tcPr>
            <w:tcW w:w="27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其他资金</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210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其他资金</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204.88</w:t>
            </w:r>
          </w:p>
        </w:tc>
      </w:tr>
      <w:tr>
        <w:tblPrEx>
          <w:tblCellMar>
            <w:top w:w="0" w:type="dxa"/>
            <w:left w:w="108" w:type="dxa"/>
            <w:bottom w:w="0" w:type="dxa"/>
            <w:right w:w="108" w:type="dxa"/>
          </w:tblCellMar>
        </w:tblPrEx>
        <w:trPr>
          <w:gridAfter w:val="1"/>
          <w:wAfter w:w="236" w:type="dxa"/>
          <w:trHeight w:val="217" w:hRule="atLeast"/>
        </w:trPr>
        <w:tc>
          <w:tcPr>
            <w:tcW w:w="1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年度总体目标</w:t>
            </w:r>
          </w:p>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预期目标</w:t>
            </w:r>
          </w:p>
        </w:tc>
        <w:tc>
          <w:tcPr>
            <w:tcW w:w="3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目标实际完成情况</w:t>
            </w:r>
          </w:p>
        </w:tc>
      </w:tr>
      <w:tr>
        <w:tblPrEx>
          <w:tblCellMar>
            <w:top w:w="0" w:type="dxa"/>
            <w:left w:w="108" w:type="dxa"/>
            <w:bottom w:w="0" w:type="dxa"/>
            <w:right w:w="108" w:type="dxa"/>
          </w:tblCellMar>
        </w:tblPrEx>
        <w:trPr>
          <w:gridAfter w:val="1"/>
          <w:wAfter w:w="236" w:type="dxa"/>
          <w:trHeight w:val="797" w:hRule="atLeast"/>
        </w:trPr>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仿宋_GB2312" w:hAnsi="仿宋_GB2312" w:eastAsia="仿宋_GB2312" w:cs="仿宋_GB2312"/>
                <w:sz w:val="20"/>
                <w:szCs w:val="20"/>
              </w:rPr>
            </w:pPr>
            <w:r>
              <w:rPr>
                <w:rFonts w:hint="eastAsia" w:ascii="仿宋_GB2312" w:hAnsi="仿宋_GB2312" w:eastAsia="仿宋_GB2312" w:cs="仿宋_GB2312"/>
                <w:sz w:val="20"/>
                <w:szCs w:val="20"/>
              </w:rPr>
              <w:t>为了弥补办学经费不足，改善学院基本办学条件，提高学院实践教学能力，增强高职学生核心竞争力，确保全院10000余大学生实践教学需要。同时，确保学院履行既有合同，遵守契约，维护学院基本信用度，必须安排本支出项目。</w:t>
            </w:r>
          </w:p>
        </w:tc>
        <w:tc>
          <w:tcPr>
            <w:tcW w:w="3633"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仿宋_GB2312" w:hAnsi="仿宋_GB2312" w:eastAsia="仿宋_GB2312" w:cs="仿宋_GB2312"/>
                <w:sz w:val="20"/>
                <w:szCs w:val="20"/>
              </w:rPr>
            </w:pPr>
            <w:r>
              <w:rPr>
                <w:rFonts w:hint="eastAsia" w:ascii="仿宋_GB2312" w:hAnsi="仿宋_GB2312" w:eastAsia="仿宋_GB2312" w:cs="仿宋_GB2312"/>
                <w:sz w:val="20"/>
                <w:szCs w:val="20"/>
              </w:rPr>
              <w:t>改善学院基本办学条件，提高学院实践教学能力，增强高职学生核心竞争力，确保全院10000余大学生实践教学需要。同时，确保学院履行既有合同，遵守契约，维护学院基本信用度.</w:t>
            </w:r>
          </w:p>
        </w:tc>
      </w:tr>
      <w:tr>
        <w:tblPrEx>
          <w:tblCellMar>
            <w:top w:w="0" w:type="dxa"/>
            <w:left w:w="108" w:type="dxa"/>
            <w:bottom w:w="0" w:type="dxa"/>
            <w:right w:w="108" w:type="dxa"/>
          </w:tblCellMar>
        </w:tblPrEx>
        <w:trPr>
          <w:gridAfter w:val="1"/>
          <w:wAfter w:w="236" w:type="dxa"/>
          <w:trHeight w:val="693" w:hRule="atLeast"/>
        </w:trPr>
        <w:tc>
          <w:tcPr>
            <w:tcW w:w="1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年度绩效指标完成情况</w:t>
            </w:r>
          </w:p>
        </w:tc>
        <w:tc>
          <w:tcPr>
            <w:tcW w:w="8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一级</w:t>
            </w:r>
          </w:p>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二级</w:t>
            </w:r>
          </w:p>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078"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三级</w:t>
            </w:r>
          </w:p>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预期指标值</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实际完成指标值</w:t>
            </w:r>
          </w:p>
        </w:tc>
      </w:tr>
      <w:tr>
        <w:tblPrEx>
          <w:tblCellMar>
            <w:top w:w="0" w:type="dxa"/>
            <w:left w:w="108" w:type="dxa"/>
            <w:bottom w:w="0" w:type="dxa"/>
            <w:right w:w="108" w:type="dxa"/>
          </w:tblCellMar>
        </w:tblPrEx>
        <w:trPr>
          <w:gridAfter w:val="1"/>
          <w:wAfter w:w="236" w:type="dxa"/>
          <w:trHeight w:val="415" w:hRule="atLeast"/>
        </w:trPr>
        <w:tc>
          <w:tcPr>
            <w:tcW w:w="19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8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完成</w:t>
            </w:r>
          </w:p>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20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数量指标</w:t>
            </w:r>
          </w:p>
        </w:tc>
        <w:tc>
          <w:tcPr>
            <w:tcW w:w="1078" w:type="dxa"/>
            <w:tcBorders>
              <w:top w:val="single" w:color="000000" w:sz="4" w:space="0"/>
              <w:left w:val="single" w:color="auto"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还款次数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2次</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2次</w:t>
            </w:r>
          </w:p>
        </w:tc>
      </w:tr>
      <w:tr>
        <w:tblPrEx>
          <w:tblCellMar>
            <w:top w:w="0" w:type="dxa"/>
            <w:left w:w="108" w:type="dxa"/>
            <w:bottom w:w="0" w:type="dxa"/>
            <w:right w:w="108" w:type="dxa"/>
          </w:tblCellMar>
        </w:tblPrEx>
        <w:trPr>
          <w:gridAfter w:val="1"/>
          <w:wAfter w:w="236" w:type="dxa"/>
          <w:trHeight w:val="415" w:hRule="atLeast"/>
        </w:trPr>
        <w:tc>
          <w:tcPr>
            <w:tcW w:w="19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8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0"/>
                <w:szCs w:val="20"/>
              </w:rPr>
            </w:pPr>
          </w:p>
        </w:tc>
        <w:tc>
          <w:tcPr>
            <w:tcW w:w="2070" w:type="dxa"/>
            <w:vMerge w:val="continue"/>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0"/>
                <w:szCs w:val="20"/>
              </w:rPr>
            </w:pPr>
          </w:p>
        </w:tc>
        <w:tc>
          <w:tcPr>
            <w:tcW w:w="1078" w:type="dxa"/>
            <w:tcBorders>
              <w:top w:val="single" w:color="000000" w:sz="4" w:space="0"/>
              <w:left w:val="single" w:color="auto"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还款时间</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2021年6月，2021年12月</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2021年6月，2021年12月</w:t>
            </w:r>
          </w:p>
        </w:tc>
      </w:tr>
      <w:tr>
        <w:tblPrEx>
          <w:tblCellMar>
            <w:top w:w="0" w:type="dxa"/>
            <w:left w:w="108" w:type="dxa"/>
            <w:bottom w:w="0" w:type="dxa"/>
            <w:right w:w="108" w:type="dxa"/>
          </w:tblCellMar>
        </w:tblPrEx>
        <w:trPr>
          <w:gridAfter w:val="1"/>
          <w:wAfter w:w="236" w:type="dxa"/>
          <w:trHeight w:val="415" w:hRule="atLeast"/>
        </w:trPr>
        <w:tc>
          <w:tcPr>
            <w:tcW w:w="19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818" w:type="dxa"/>
            <w:vMerge w:val="continue"/>
            <w:tcBorders>
              <w:top w:val="single" w:color="auto" w:sz="4" w:space="0"/>
              <w:left w:val="single" w:color="auto" w:sz="4" w:space="0"/>
              <w:bottom w:val="single" w:color="auto" w:sz="4" w:space="0"/>
              <w:right w:val="single" w:color="auto" w:sz="4" w:space="0"/>
            </w:tcBorders>
            <w:shd w:val="clear" w:color="auto" w:fill="auto"/>
            <w:vAlign w:val="bottom"/>
          </w:tcPr>
          <w:p>
            <w:pPr>
              <w:spacing w:line="320" w:lineRule="exact"/>
              <w:jc w:val="center"/>
              <w:rPr>
                <w:rFonts w:ascii="仿宋_GB2312" w:hAnsi="仿宋_GB2312" w:eastAsia="仿宋_GB2312" w:cs="仿宋_GB2312"/>
                <w:sz w:val="20"/>
                <w:szCs w:val="20"/>
              </w:rPr>
            </w:pPr>
          </w:p>
        </w:tc>
        <w:tc>
          <w:tcPr>
            <w:tcW w:w="2070"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质量指标</w:t>
            </w:r>
          </w:p>
        </w:tc>
        <w:tc>
          <w:tcPr>
            <w:tcW w:w="1078" w:type="dxa"/>
            <w:tcBorders>
              <w:top w:val="single" w:color="000000" w:sz="4" w:space="0"/>
              <w:left w:val="single" w:color="auto"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r>
      <w:tr>
        <w:tblPrEx>
          <w:tblCellMar>
            <w:top w:w="0" w:type="dxa"/>
            <w:left w:w="108" w:type="dxa"/>
            <w:bottom w:w="0" w:type="dxa"/>
            <w:right w:w="108" w:type="dxa"/>
          </w:tblCellMar>
        </w:tblPrEx>
        <w:trPr>
          <w:gridAfter w:val="1"/>
          <w:wAfter w:w="236" w:type="dxa"/>
          <w:trHeight w:val="415" w:hRule="atLeast"/>
        </w:trPr>
        <w:tc>
          <w:tcPr>
            <w:tcW w:w="19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818" w:type="dxa"/>
            <w:vMerge w:val="continue"/>
            <w:tcBorders>
              <w:top w:val="single" w:color="auto" w:sz="4" w:space="0"/>
              <w:left w:val="single" w:color="auto" w:sz="4" w:space="0"/>
              <w:bottom w:val="single" w:color="auto" w:sz="4" w:space="0"/>
              <w:right w:val="single" w:color="auto" w:sz="4" w:space="0"/>
            </w:tcBorders>
            <w:shd w:val="clear" w:color="auto" w:fill="auto"/>
            <w:vAlign w:val="bottom"/>
          </w:tcPr>
          <w:p>
            <w:pPr>
              <w:spacing w:line="320" w:lineRule="exact"/>
              <w:jc w:val="center"/>
              <w:rPr>
                <w:rFonts w:ascii="仿宋_GB2312" w:hAnsi="仿宋_GB2312" w:eastAsia="仿宋_GB2312" w:cs="仿宋_GB2312"/>
                <w:sz w:val="20"/>
                <w:szCs w:val="20"/>
              </w:rPr>
            </w:pPr>
          </w:p>
        </w:tc>
        <w:tc>
          <w:tcPr>
            <w:tcW w:w="2070"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时效指标</w:t>
            </w:r>
          </w:p>
        </w:tc>
        <w:tc>
          <w:tcPr>
            <w:tcW w:w="1078" w:type="dxa"/>
            <w:tcBorders>
              <w:top w:val="single" w:color="000000" w:sz="4" w:space="0"/>
              <w:left w:val="single" w:color="auto"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r>
      <w:tr>
        <w:tblPrEx>
          <w:tblCellMar>
            <w:top w:w="0" w:type="dxa"/>
            <w:left w:w="108" w:type="dxa"/>
            <w:bottom w:w="0" w:type="dxa"/>
            <w:right w:w="108" w:type="dxa"/>
          </w:tblCellMar>
        </w:tblPrEx>
        <w:trPr>
          <w:gridAfter w:val="1"/>
          <w:wAfter w:w="236" w:type="dxa"/>
          <w:trHeight w:val="480" w:hRule="atLeast"/>
        </w:trPr>
        <w:tc>
          <w:tcPr>
            <w:tcW w:w="19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818" w:type="dxa"/>
            <w:vMerge w:val="continue"/>
            <w:tcBorders>
              <w:top w:val="single" w:color="auto" w:sz="4" w:space="0"/>
              <w:left w:val="single" w:color="auto" w:sz="4" w:space="0"/>
              <w:bottom w:val="single" w:color="auto" w:sz="4" w:space="0"/>
              <w:right w:val="single" w:color="auto" w:sz="4" w:space="0"/>
            </w:tcBorders>
            <w:shd w:val="clear" w:color="auto" w:fill="auto"/>
            <w:vAlign w:val="bottom"/>
          </w:tcPr>
          <w:p>
            <w:pPr>
              <w:spacing w:line="320" w:lineRule="exact"/>
              <w:jc w:val="center"/>
              <w:rPr>
                <w:rFonts w:ascii="仿宋_GB2312" w:hAnsi="仿宋_GB2312" w:eastAsia="仿宋_GB2312" w:cs="仿宋_GB2312"/>
                <w:sz w:val="20"/>
                <w:szCs w:val="20"/>
              </w:rPr>
            </w:pPr>
          </w:p>
        </w:tc>
        <w:tc>
          <w:tcPr>
            <w:tcW w:w="2070"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成本指标</w:t>
            </w:r>
          </w:p>
        </w:tc>
        <w:tc>
          <w:tcPr>
            <w:tcW w:w="1078" w:type="dxa"/>
            <w:tcBorders>
              <w:top w:val="single" w:color="000000" w:sz="4" w:space="0"/>
              <w:left w:val="single" w:color="auto"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贷款成本节约率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30%</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20%</w:t>
            </w:r>
          </w:p>
        </w:tc>
      </w:tr>
      <w:tr>
        <w:tblPrEx>
          <w:tblCellMar>
            <w:top w:w="0" w:type="dxa"/>
            <w:left w:w="108" w:type="dxa"/>
            <w:bottom w:w="0" w:type="dxa"/>
            <w:right w:w="108" w:type="dxa"/>
          </w:tblCellMar>
        </w:tblPrEx>
        <w:trPr>
          <w:gridAfter w:val="1"/>
          <w:wAfter w:w="236" w:type="dxa"/>
          <w:trHeight w:val="480" w:hRule="atLeast"/>
        </w:trPr>
        <w:tc>
          <w:tcPr>
            <w:tcW w:w="19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8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效益</w:t>
            </w:r>
          </w:p>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经济效益  指标</w:t>
            </w:r>
          </w:p>
        </w:tc>
        <w:tc>
          <w:tcPr>
            <w:tcW w:w="1078" w:type="dxa"/>
            <w:tcBorders>
              <w:top w:val="single" w:color="000000" w:sz="4" w:space="0"/>
              <w:left w:val="single" w:color="auto"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r>
      <w:tr>
        <w:tblPrEx>
          <w:tblCellMar>
            <w:top w:w="0" w:type="dxa"/>
            <w:left w:w="108" w:type="dxa"/>
            <w:bottom w:w="0" w:type="dxa"/>
            <w:right w:w="108" w:type="dxa"/>
          </w:tblCellMar>
        </w:tblPrEx>
        <w:trPr>
          <w:gridAfter w:val="1"/>
          <w:wAfter w:w="236" w:type="dxa"/>
          <w:trHeight w:val="480" w:hRule="atLeast"/>
        </w:trPr>
        <w:tc>
          <w:tcPr>
            <w:tcW w:w="19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818" w:type="dxa"/>
            <w:vMerge w:val="continue"/>
            <w:tcBorders>
              <w:top w:val="single" w:color="auto" w:sz="4" w:space="0"/>
              <w:left w:val="single" w:color="auto" w:sz="4" w:space="0"/>
              <w:bottom w:val="single" w:color="auto" w:sz="4" w:space="0"/>
              <w:right w:val="single" w:color="auto" w:sz="4" w:space="0"/>
            </w:tcBorders>
            <w:shd w:val="clear" w:color="auto" w:fill="auto"/>
            <w:vAlign w:val="bottom"/>
          </w:tcPr>
          <w:p>
            <w:pPr>
              <w:spacing w:line="320" w:lineRule="exact"/>
              <w:jc w:val="center"/>
              <w:rPr>
                <w:rFonts w:ascii="仿宋_GB2312" w:hAnsi="仿宋_GB2312" w:eastAsia="仿宋_GB2312" w:cs="仿宋_GB2312"/>
                <w:sz w:val="20"/>
                <w:szCs w:val="20"/>
              </w:rPr>
            </w:pPr>
          </w:p>
        </w:tc>
        <w:tc>
          <w:tcPr>
            <w:tcW w:w="2070"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社会效益  指标</w:t>
            </w:r>
          </w:p>
        </w:tc>
        <w:tc>
          <w:tcPr>
            <w:tcW w:w="1078" w:type="dxa"/>
            <w:tcBorders>
              <w:top w:val="single" w:color="000000" w:sz="4" w:space="0"/>
              <w:left w:val="single" w:color="auto"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r>
      <w:tr>
        <w:tblPrEx>
          <w:tblCellMar>
            <w:top w:w="0" w:type="dxa"/>
            <w:left w:w="108" w:type="dxa"/>
            <w:bottom w:w="0" w:type="dxa"/>
            <w:right w:w="108" w:type="dxa"/>
          </w:tblCellMar>
        </w:tblPrEx>
        <w:trPr>
          <w:gridAfter w:val="1"/>
          <w:wAfter w:w="236" w:type="dxa"/>
          <w:trHeight w:val="577" w:hRule="atLeast"/>
        </w:trPr>
        <w:tc>
          <w:tcPr>
            <w:tcW w:w="19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818" w:type="dxa"/>
            <w:vMerge w:val="continue"/>
            <w:tcBorders>
              <w:top w:val="single" w:color="auto" w:sz="4" w:space="0"/>
              <w:left w:val="single" w:color="auto" w:sz="4" w:space="0"/>
              <w:bottom w:val="single" w:color="auto" w:sz="4" w:space="0"/>
              <w:right w:val="single" w:color="auto" w:sz="4" w:space="0"/>
            </w:tcBorders>
            <w:shd w:val="clear" w:color="auto" w:fill="auto"/>
            <w:vAlign w:val="bottom"/>
          </w:tcPr>
          <w:p>
            <w:pPr>
              <w:spacing w:line="320" w:lineRule="exact"/>
              <w:jc w:val="center"/>
              <w:rPr>
                <w:rFonts w:ascii="仿宋_GB2312" w:hAnsi="仿宋_GB2312" w:eastAsia="仿宋_GB2312" w:cs="仿宋_GB2312"/>
                <w:sz w:val="20"/>
                <w:szCs w:val="20"/>
              </w:rPr>
            </w:pPr>
          </w:p>
        </w:tc>
        <w:tc>
          <w:tcPr>
            <w:tcW w:w="2070"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320" w:lineRule="exact"/>
              <w:ind w:left="383" w:leftChars="87" w:hanging="200" w:hangingChars="100"/>
              <w:jc w:val="left"/>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生态效益  指标</w:t>
            </w:r>
          </w:p>
        </w:tc>
        <w:tc>
          <w:tcPr>
            <w:tcW w:w="1078" w:type="dxa"/>
            <w:tcBorders>
              <w:top w:val="single" w:color="000000" w:sz="4" w:space="0"/>
              <w:left w:val="single" w:color="auto"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r>
      <w:tr>
        <w:tblPrEx>
          <w:tblCellMar>
            <w:top w:w="0" w:type="dxa"/>
            <w:left w:w="108" w:type="dxa"/>
            <w:bottom w:w="0" w:type="dxa"/>
            <w:right w:w="108" w:type="dxa"/>
          </w:tblCellMar>
        </w:tblPrEx>
        <w:trPr>
          <w:gridAfter w:val="1"/>
          <w:wAfter w:w="236" w:type="dxa"/>
          <w:trHeight w:val="480" w:hRule="atLeast"/>
        </w:trPr>
        <w:tc>
          <w:tcPr>
            <w:tcW w:w="19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818" w:type="dxa"/>
            <w:vMerge w:val="continue"/>
            <w:tcBorders>
              <w:top w:val="single" w:color="auto" w:sz="4" w:space="0"/>
              <w:left w:val="single" w:color="auto" w:sz="4" w:space="0"/>
              <w:bottom w:val="single" w:color="auto" w:sz="4" w:space="0"/>
              <w:right w:val="single" w:color="auto" w:sz="4" w:space="0"/>
            </w:tcBorders>
            <w:shd w:val="clear" w:color="auto" w:fill="auto"/>
            <w:vAlign w:val="bottom"/>
          </w:tcPr>
          <w:p>
            <w:pPr>
              <w:spacing w:line="320" w:lineRule="exact"/>
              <w:jc w:val="center"/>
              <w:rPr>
                <w:rFonts w:ascii="仿宋_GB2312" w:hAnsi="仿宋_GB2312" w:eastAsia="仿宋_GB2312" w:cs="仿宋_GB2312"/>
                <w:sz w:val="20"/>
                <w:szCs w:val="20"/>
              </w:rPr>
            </w:pPr>
          </w:p>
        </w:tc>
        <w:tc>
          <w:tcPr>
            <w:tcW w:w="2070"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可持续影响 指标</w:t>
            </w:r>
          </w:p>
        </w:tc>
        <w:tc>
          <w:tcPr>
            <w:tcW w:w="1078" w:type="dxa"/>
            <w:tcBorders>
              <w:top w:val="single" w:color="000000" w:sz="4" w:space="0"/>
              <w:left w:val="single" w:color="auto"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r>
      <w:tr>
        <w:tblPrEx>
          <w:tblCellMar>
            <w:top w:w="0" w:type="dxa"/>
            <w:left w:w="108" w:type="dxa"/>
            <w:bottom w:w="0" w:type="dxa"/>
            <w:right w:w="108" w:type="dxa"/>
          </w:tblCellMar>
        </w:tblPrEx>
        <w:trPr>
          <w:gridAfter w:val="1"/>
          <w:wAfter w:w="236" w:type="dxa"/>
          <w:trHeight w:val="551" w:hRule="atLeast"/>
        </w:trPr>
        <w:tc>
          <w:tcPr>
            <w:tcW w:w="19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818"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满意</w:t>
            </w:r>
          </w:p>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度指标</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满意度</w:t>
            </w:r>
          </w:p>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078" w:type="dxa"/>
            <w:tcBorders>
              <w:top w:val="single" w:color="000000" w:sz="4" w:space="0"/>
              <w:left w:val="single" w:color="auto"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师生满意度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≥90%</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≥90%</w:t>
            </w:r>
          </w:p>
        </w:tc>
      </w:tr>
    </w:tbl>
    <w:p>
      <w:pPr>
        <w:spacing w:line="600" w:lineRule="exact"/>
        <w:rPr>
          <w:rFonts w:ascii="黑体" w:hAnsi="黑体" w:eastAsia="黑体"/>
          <w:sz w:val="44"/>
          <w:szCs w:val="44"/>
        </w:rPr>
      </w:pPr>
    </w:p>
    <w:tbl>
      <w:tblPr>
        <w:tblStyle w:val="13"/>
        <w:tblpPr w:leftFromText="180" w:rightFromText="180" w:vertAnchor="text" w:horzAnchor="page" w:tblpX="1570" w:tblpY="331"/>
        <w:tblOverlap w:val="never"/>
        <w:tblW w:w="9811" w:type="dxa"/>
        <w:tblInd w:w="0" w:type="dxa"/>
        <w:tblLayout w:type="fixed"/>
        <w:tblCellMar>
          <w:top w:w="0" w:type="dxa"/>
          <w:left w:w="108" w:type="dxa"/>
          <w:bottom w:w="0" w:type="dxa"/>
          <w:right w:w="108" w:type="dxa"/>
        </w:tblCellMar>
      </w:tblPr>
      <w:tblGrid>
        <w:gridCol w:w="2025"/>
        <w:gridCol w:w="1170"/>
        <w:gridCol w:w="1470"/>
        <w:gridCol w:w="1423"/>
        <w:gridCol w:w="1254"/>
        <w:gridCol w:w="2469"/>
      </w:tblGrid>
      <w:tr>
        <w:tblPrEx>
          <w:tblCellMar>
            <w:top w:w="0" w:type="dxa"/>
            <w:left w:w="108" w:type="dxa"/>
            <w:bottom w:w="0" w:type="dxa"/>
            <w:right w:w="108" w:type="dxa"/>
          </w:tblCellMar>
        </w:tblPrEx>
        <w:trPr>
          <w:trHeight w:val="675" w:hRule="atLeast"/>
        </w:trPr>
        <w:tc>
          <w:tcPr>
            <w:tcW w:w="9811" w:type="dxa"/>
            <w:gridSpan w:val="6"/>
            <w:tcBorders>
              <w:top w:val="nil"/>
              <w:left w:val="nil"/>
              <w:bottom w:val="nil"/>
              <w:right w:val="nil"/>
            </w:tcBorders>
            <w:shd w:val="clear" w:color="auto" w:fill="auto"/>
            <w:vAlign w:val="center"/>
          </w:tcPr>
          <w:p>
            <w:pPr>
              <w:widowControl/>
              <w:jc w:val="center"/>
              <w:textAlignment w:val="center"/>
              <w:rPr>
                <w:rFonts w:hint="eastAsia" w:ascii="宋体" w:hAnsi="宋体" w:cs="宋体"/>
                <w:b/>
                <w:color w:val="000000" w:themeColor="text1"/>
                <w:sz w:val="32"/>
                <w:szCs w:val="32"/>
                <w14:textFill>
                  <w14:solidFill>
                    <w14:schemeClr w14:val="tx1"/>
                  </w14:solidFill>
                </w14:textFill>
              </w:rPr>
            </w:pPr>
          </w:p>
          <w:p>
            <w:pPr>
              <w:widowControl/>
              <w:jc w:val="center"/>
              <w:textAlignment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2021年100万元以上（含）特定目标类部门预算项目绩效目标自评</w:t>
            </w:r>
          </w:p>
          <w:p>
            <w:pPr>
              <w:widowControl/>
              <w:jc w:val="center"/>
              <w:textAlignment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（教育教学成本（教学及科研类）</w:t>
            </w:r>
            <w:r>
              <w:rPr>
                <w:rFonts w:hint="eastAsia" w:ascii="宋体" w:hAnsi="宋体" w:cs="宋体"/>
                <w:b/>
                <w:sz w:val="32"/>
                <w:szCs w:val="32"/>
              </w:rPr>
              <w:t>项目）</w:t>
            </w:r>
          </w:p>
        </w:tc>
      </w:tr>
      <w:tr>
        <w:tblPrEx>
          <w:tblCellMar>
            <w:top w:w="0" w:type="dxa"/>
            <w:left w:w="108" w:type="dxa"/>
            <w:bottom w:w="0" w:type="dxa"/>
            <w:right w:w="108" w:type="dxa"/>
          </w:tblCellMar>
        </w:tblPrEx>
        <w:trPr>
          <w:trHeight w:val="90" w:hRule="atLeast"/>
        </w:trPr>
        <w:tc>
          <w:tcPr>
            <w:tcW w:w="31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主管部门及代码</w:t>
            </w:r>
          </w:p>
        </w:tc>
        <w:tc>
          <w:tcPr>
            <w:tcW w:w="2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四川省商务厅322</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实施单位</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四川商务职业学院</w:t>
            </w:r>
          </w:p>
        </w:tc>
      </w:tr>
      <w:tr>
        <w:tblPrEx>
          <w:tblCellMar>
            <w:top w:w="0" w:type="dxa"/>
            <w:left w:w="108" w:type="dxa"/>
            <w:bottom w:w="0" w:type="dxa"/>
            <w:right w:w="108" w:type="dxa"/>
          </w:tblCellMar>
        </w:tblPrEx>
        <w:trPr>
          <w:trHeight w:val="341" w:hRule="atLeast"/>
        </w:trPr>
        <w:tc>
          <w:tcPr>
            <w:tcW w:w="31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项目预算</w:t>
            </w:r>
          </w:p>
          <w:p>
            <w:pPr>
              <w:widowControl/>
              <w:spacing w:line="320" w:lineRule="exact"/>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执行情况</w:t>
            </w:r>
          </w:p>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（万元）</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 xml:space="preserve"> 预算数：</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210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 xml:space="preserve"> 执行数：</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115.38</w:t>
            </w:r>
          </w:p>
        </w:tc>
      </w:tr>
      <w:tr>
        <w:tblPrEx>
          <w:tblCellMar>
            <w:top w:w="0" w:type="dxa"/>
            <w:left w:w="108" w:type="dxa"/>
            <w:bottom w:w="0" w:type="dxa"/>
            <w:right w:w="108" w:type="dxa"/>
          </w:tblCellMar>
        </w:tblPrEx>
        <w:trPr>
          <w:trHeight w:val="555" w:hRule="atLeast"/>
        </w:trPr>
        <w:tc>
          <w:tcPr>
            <w:tcW w:w="31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其中：</w:t>
            </w:r>
          </w:p>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财政拨款</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120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其中：</w:t>
            </w:r>
          </w:p>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财政拨款</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115.38</w:t>
            </w:r>
          </w:p>
        </w:tc>
      </w:tr>
      <w:tr>
        <w:tblPrEx>
          <w:tblCellMar>
            <w:top w:w="0" w:type="dxa"/>
            <w:left w:w="108" w:type="dxa"/>
            <w:bottom w:w="0" w:type="dxa"/>
            <w:right w:w="108" w:type="dxa"/>
          </w:tblCellMar>
        </w:tblPrEx>
        <w:trPr>
          <w:trHeight w:val="341" w:hRule="atLeast"/>
        </w:trPr>
        <w:tc>
          <w:tcPr>
            <w:tcW w:w="31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其他资金</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90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其他资金</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p>
        </w:tc>
      </w:tr>
      <w:tr>
        <w:tblPrEx>
          <w:tblCellMar>
            <w:top w:w="0" w:type="dxa"/>
            <w:left w:w="108" w:type="dxa"/>
            <w:bottom w:w="0" w:type="dxa"/>
            <w:right w:w="108" w:type="dxa"/>
          </w:tblCellMar>
        </w:tblPrEx>
        <w:trPr>
          <w:trHeight w:val="217" w:hRule="atLeast"/>
        </w:trPr>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年度总体目标</w:t>
            </w:r>
          </w:p>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完成情况</w:t>
            </w:r>
          </w:p>
        </w:tc>
        <w:tc>
          <w:tcPr>
            <w:tcW w:w="40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预期目标</w:t>
            </w:r>
          </w:p>
        </w:tc>
        <w:tc>
          <w:tcPr>
            <w:tcW w:w="37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目标实际完成情况</w:t>
            </w:r>
          </w:p>
        </w:tc>
      </w:tr>
      <w:tr>
        <w:tblPrEx>
          <w:tblCellMar>
            <w:top w:w="0" w:type="dxa"/>
            <w:left w:w="108" w:type="dxa"/>
            <w:bottom w:w="0" w:type="dxa"/>
            <w:right w:w="108" w:type="dxa"/>
          </w:tblCellMar>
        </w:tblPrEx>
        <w:trPr>
          <w:trHeight w:val="797" w:hRule="atLeast"/>
        </w:trPr>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4063"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仿宋_GB2312" w:hAnsi="仿宋_GB2312" w:eastAsia="仿宋_GB2312" w:cs="仿宋_GB2312"/>
                <w:sz w:val="20"/>
                <w:szCs w:val="20"/>
              </w:rPr>
            </w:pPr>
            <w:r>
              <w:rPr>
                <w:rFonts w:hint="eastAsia" w:ascii="仿宋_GB2312" w:hAnsi="仿宋_GB2312" w:eastAsia="仿宋_GB2312" w:cs="仿宋_GB2312"/>
                <w:sz w:val="20"/>
                <w:szCs w:val="20"/>
              </w:rPr>
              <w:t>完成2021年的教学实践，专业建设和课程改革工作；完成院级科研课题10项，省级课题2项，为科研横向资金到位配套提高横向科研资金到位率提高1%，同时提高学院学报质量。使学院教学和科研工作不断提高</w:t>
            </w:r>
          </w:p>
        </w:tc>
        <w:tc>
          <w:tcPr>
            <w:tcW w:w="3723"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仿宋_GB2312" w:hAnsi="仿宋_GB2312" w:eastAsia="仿宋_GB2312" w:cs="仿宋_GB2312"/>
                <w:sz w:val="20"/>
                <w:szCs w:val="20"/>
              </w:rPr>
            </w:pPr>
            <w:r>
              <w:rPr>
                <w:rFonts w:hint="eastAsia" w:ascii="仿宋_GB2312" w:hAnsi="仿宋_GB2312" w:eastAsia="仿宋_GB2312" w:cs="仿宋_GB2312"/>
                <w:sz w:val="20"/>
                <w:szCs w:val="20"/>
              </w:rPr>
              <w:t>完成院级科研课题12项，省级课题4项，横向科研资金到帐7.3万元.完成教改、课改项目21个</w:t>
            </w:r>
          </w:p>
        </w:tc>
      </w:tr>
      <w:tr>
        <w:tblPrEx>
          <w:tblCellMar>
            <w:top w:w="0" w:type="dxa"/>
            <w:left w:w="108" w:type="dxa"/>
            <w:bottom w:w="0" w:type="dxa"/>
            <w:right w:w="108" w:type="dxa"/>
          </w:tblCellMar>
        </w:tblPrEx>
        <w:trPr>
          <w:trHeight w:val="693" w:hRule="atLeast"/>
        </w:trPr>
        <w:tc>
          <w:tcPr>
            <w:tcW w:w="2025"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年度绩效指标完成情况</w:t>
            </w:r>
          </w:p>
        </w:tc>
        <w:tc>
          <w:tcPr>
            <w:tcW w:w="1170"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一级</w:t>
            </w:r>
          </w:p>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二级</w:t>
            </w:r>
          </w:p>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三级</w:t>
            </w:r>
          </w:p>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预期指标值</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实际完成指标值</w:t>
            </w:r>
          </w:p>
        </w:tc>
      </w:tr>
      <w:tr>
        <w:tblPrEx>
          <w:tblCellMar>
            <w:top w:w="0" w:type="dxa"/>
            <w:left w:w="108" w:type="dxa"/>
            <w:bottom w:w="0" w:type="dxa"/>
            <w:right w:w="108" w:type="dxa"/>
          </w:tblCellMar>
        </w:tblPrEx>
        <w:trPr>
          <w:trHeight w:val="415" w:hRule="atLeast"/>
        </w:trPr>
        <w:tc>
          <w:tcPr>
            <w:tcW w:w="202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完成</w:t>
            </w:r>
          </w:p>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470"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数量指标</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完成科研课题及论文</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二十余项</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发表论文23篇</w:t>
            </w:r>
          </w:p>
        </w:tc>
      </w:tr>
      <w:tr>
        <w:tblPrEx>
          <w:tblCellMar>
            <w:top w:w="0" w:type="dxa"/>
            <w:left w:w="108" w:type="dxa"/>
            <w:bottom w:w="0" w:type="dxa"/>
            <w:right w:w="108" w:type="dxa"/>
          </w:tblCellMar>
        </w:tblPrEx>
        <w:trPr>
          <w:trHeight w:val="415" w:hRule="atLeast"/>
        </w:trPr>
        <w:tc>
          <w:tcPr>
            <w:tcW w:w="202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70" w:type="dxa"/>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0"/>
                <w:szCs w:val="20"/>
              </w:rPr>
            </w:pPr>
          </w:p>
        </w:tc>
        <w:tc>
          <w:tcPr>
            <w:tcW w:w="1470" w:type="dxa"/>
            <w:vMerge w:val="continue"/>
            <w:tcBorders>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0"/>
                <w:szCs w:val="20"/>
              </w:rPr>
            </w:pP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完成教学课改及专业建设项目</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十余项</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21篇</w:t>
            </w:r>
          </w:p>
        </w:tc>
      </w:tr>
      <w:tr>
        <w:tblPrEx>
          <w:tblCellMar>
            <w:top w:w="0" w:type="dxa"/>
            <w:left w:w="108" w:type="dxa"/>
            <w:bottom w:w="0" w:type="dxa"/>
            <w:right w:w="108" w:type="dxa"/>
          </w:tblCellMar>
        </w:tblPrEx>
        <w:trPr>
          <w:trHeight w:val="415" w:hRule="atLeast"/>
        </w:trPr>
        <w:tc>
          <w:tcPr>
            <w:tcW w:w="202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0"/>
                <w:szCs w:val="20"/>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质量指标</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论文质量</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能在核心期刊及省级刊物发表</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C刊来源期刊1篇，C刊来源期刊扩展版1篇，北大中文核心2篇</w:t>
            </w:r>
          </w:p>
        </w:tc>
      </w:tr>
      <w:tr>
        <w:tblPrEx>
          <w:tblCellMar>
            <w:top w:w="0" w:type="dxa"/>
            <w:left w:w="108" w:type="dxa"/>
            <w:bottom w:w="0" w:type="dxa"/>
            <w:right w:w="108" w:type="dxa"/>
          </w:tblCellMar>
        </w:tblPrEx>
        <w:trPr>
          <w:trHeight w:val="415" w:hRule="atLeast"/>
        </w:trPr>
        <w:tc>
          <w:tcPr>
            <w:tcW w:w="202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0"/>
                <w:szCs w:val="20"/>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时效指标</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r>
      <w:tr>
        <w:tblPrEx>
          <w:tblCellMar>
            <w:top w:w="0" w:type="dxa"/>
            <w:left w:w="108" w:type="dxa"/>
            <w:bottom w:w="0" w:type="dxa"/>
            <w:right w:w="108" w:type="dxa"/>
          </w:tblCellMar>
        </w:tblPrEx>
        <w:trPr>
          <w:trHeight w:val="480" w:hRule="atLeast"/>
        </w:trPr>
        <w:tc>
          <w:tcPr>
            <w:tcW w:w="202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0"/>
                <w:szCs w:val="20"/>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成本指标</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r>
      <w:tr>
        <w:tblPrEx>
          <w:tblCellMar>
            <w:top w:w="0" w:type="dxa"/>
            <w:left w:w="108" w:type="dxa"/>
            <w:bottom w:w="0" w:type="dxa"/>
            <w:right w:w="108" w:type="dxa"/>
          </w:tblCellMar>
        </w:tblPrEx>
        <w:trPr>
          <w:trHeight w:val="480" w:hRule="atLeast"/>
        </w:trPr>
        <w:tc>
          <w:tcPr>
            <w:tcW w:w="202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效益</w:t>
            </w:r>
          </w:p>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经济效益  指标</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投入产出</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良好</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良好</w:t>
            </w:r>
          </w:p>
        </w:tc>
      </w:tr>
      <w:tr>
        <w:tblPrEx>
          <w:tblCellMar>
            <w:top w:w="0" w:type="dxa"/>
            <w:left w:w="108" w:type="dxa"/>
            <w:bottom w:w="0" w:type="dxa"/>
            <w:right w:w="108" w:type="dxa"/>
          </w:tblCellMar>
        </w:tblPrEx>
        <w:trPr>
          <w:trHeight w:val="480" w:hRule="atLeast"/>
        </w:trPr>
        <w:tc>
          <w:tcPr>
            <w:tcW w:w="202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0"/>
                <w:szCs w:val="20"/>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社会效益  指标</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r>
      <w:tr>
        <w:tblPrEx>
          <w:tblCellMar>
            <w:top w:w="0" w:type="dxa"/>
            <w:left w:w="108" w:type="dxa"/>
            <w:bottom w:w="0" w:type="dxa"/>
            <w:right w:w="108" w:type="dxa"/>
          </w:tblCellMar>
        </w:tblPrEx>
        <w:trPr>
          <w:trHeight w:val="577" w:hRule="atLeast"/>
        </w:trPr>
        <w:tc>
          <w:tcPr>
            <w:tcW w:w="202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0"/>
                <w:szCs w:val="20"/>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ind w:left="383" w:leftChars="87" w:hanging="200" w:hangingChars="100"/>
              <w:jc w:val="left"/>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生态效益  指标</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r>
      <w:tr>
        <w:tblPrEx>
          <w:tblCellMar>
            <w:top w:w="0" w:type="dxa"/>
            <w:left w:w="108" w:type="dxa"/>
            <w:bottom w:w="0" w:type="dxa"/>
            <w:right w:w="108" w:type="dxa"/>
          </w:tblCellMar>
        </w:tblPrEx>
        <w:trPr>
          <w:trHeight w:val="480" w:hRule="atLeast"/>
        </w:trPr>
        <w:tc>
          <w:tcPr>
            <w:tcW w:w="202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0"/>
                <w:szCs w:val="20"/>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可持续影响 指标</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r>
      <w:tr>
        <w:tblPrEx>
          <w:tblCellMar>
            <w:top w:w="0" w:type="dxa"/>
            <w:left w:w="108" w:type="dxa"/>
            <w:bottom w:w="0" w:type="dxa"/>
            <w:right w:w="108" w:type="dxa"/>
          </w:tblCellMar>
        </w:tblPrEx>
        <w:trPr>
          <w:trHeight w:val="530" w:hRule="atLeast"/>
        </w:trPr>
        <w:tc>
          <w:tcPr>
            <w:tcW w:w="2025"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满意</w:t>
            </w:r>
          </w:p>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度指标</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满意度</w:t>
            </w:r>
          </w:p>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教师满意度</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≥80%</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≥80%</w:t>
            </w:r>
          </w:p>
        </w:tc>
      </w:tr>
    </w:tbl>
    <w:p>
      <w:pPr>
        <w:widowControl/>
        <w:adjustRightInd w:val="0"/>
        <w:snapToGrid w:val="0"/>
        <w:spacing w:line="580" w:lineRule="exact"/>
        <w:contextualSpacing/>
        <w:jc w:val="left"/>
        <w:rPr>
          <w:rFonts w:ascii="仿宋_GB2312" w:hAnsi="仿宋_GB2312" w:eastAsia="仿宋_GB2312" w:cs="仿宋_GB2312"/>
          <w:color w:val="000000"/>
          <w:kern w:val="0"/>
          <w:sz w:val="20"/>
          <w:szCs w:val="20"/>
          <w:shd w:val="clear" w:color="auto" w:fill="FFFFFF"/>
        </w:rPr>
      </w:pPr>
    </w:p>
    <w:tbl>
      <w:tblPr>
        <w:tblStyle w:val="13"/>
        <w:tblpPr w:leftFromText="180" w:rightFromText="180" w:vertAnchor="text" w:horzAnchor="page" w:tblpX="1585" w:tblpY="497"/>
        <w:tblOverlap w:val="never"/>
        <w:tblW w:w="9811" w:type="dxa"/>
        <w:tblInd w:w="0" w:type="dxa"/>
        <w:tblLayout w:type="fixed"/>
        <w:tblCellMar>
          <w:top w:w="0" w:type="dxa"/>
          <w:left w:w="108" w:type="dxa"/>
          <w:bottom w:w="0" w:type="dxa"/>
          <w:right w:w="108" w:type="dxa"/>
        </w:tblCellMar>
      </w:tblPr>
      <w:tblGrid>
        <w:gridCol w:w="2025"/>
        <w:gridCol w:w="1170"/>
        <w:gridCol w:w="1675"/>
        <w:gridCol w:w="1218"/>
        <w:gridCol w:w="1254"/>
        <w:gridCol w:w="2469"/>
      </w:tblGrid>
      <w:tr>
        <w:tblPrEx>
          <w:tblCellMar>
            <w:top w:w="0" w:type="dxa"/>
            <w:left w:w="108" w:type="dxa"/>
            <w:bottom w:w="0" w:type="dxa"/>
            <w:right w:w="108" w:type="dxa"/>
          </w:tblCellMar>
        </w:tblPrEx>
        <w:trPr>
          <w:trHeight w:val="675" w:hRule="atLeast"/>
        </w:trPr>
        <w:tc>
          <w:tcPr>
            <w:tcW w:w="9811" w:type="dxa"/>
            <w:gridSpan w:val="6"/>
            <w:tcBorders>
              <w:top w:val="nil"/>
              <w:left w:val="nil"/>
              <w:bottom w:val="nil"/>
              <w:right w:val="nil"/>
            </w:tcBorders>
            <w:shd w:val="clear" w:color="auto" w:fill="auto"/>
            <w:vAlign w:val="center"/>
          </w:tcPr>
          <w:p>
            <w:pPr>
              <w:widowControl/>
              <w:jc w:val="center"/>
              <w:textAlignment w:val="center"/>
              <w:rPr>
                <w:rFonts w:ascii="宋体" w:hAnsi="宋体" w:cs="宋体"/>
                <w:b/>
                <w:color w:val="000000"/>
                <w:sz w:val="32"/>
                <w:szCs w:val="32"/>
              </w:rPr>
            </w:pPr>
            <w:r>
              <w:rPr>
                <w:rFonts w:hint="eastAsia" w:ascii="宋体" w:hAnsi="宋体" w:cs="宋体"/>
                <w:b/>
                <w:color w:val="000000"/>
                <w:sz w:val="32"/>
                <w:szCs w:val="32"/>
              </w:rPr>
              <w:t>2021年100万元以上（含）特定目标类部门预算项目绩效目标自评</w:t>
            </w:r>
          </w:p>
          <w:p>
            <w:pPr>
              <w:widowControl/>
              <w:jc w:val="center"/>
              <w:textAlignment w:val="center"/>
              <w:rPr>
                <w:rFonts w:ascii="宋体" w:hAnsi="宋体" w:cs="宋体"/>
                <w:b/>
                <w:sz w:val="32"/>
                <w:szCs w:val="32"/>
              </w:rPr>
            </w:pPr>
            <w:r>
              <w:rPr>
                <w:rFonts w:hint="eastAsia" w:ascii="宋体" w:hAnsi="宋体" w:cs="宋体"/>
                <w:b/>
                <w:color w:val="000000" w:themeColor="text1"/>
                <w:sz w:val="32"/>
                <w:szCs w:val="32"/>
                <w14:textFill>
                  <w14:solidFill>
                    <w14:schemeClr w14:val="tx1"/>
                  </w14:solidFill>
                </w14:textFill>
              </w:rPr>
              <w:t>（教育教学成本（学生管理成本）项目）</w:t>
            </w:r>
          </w:p>
        </w:tc>
      </w:tr>
      <w:tr>
        <w:tblPrEx>
          <w:tblCellMar>
            <w:top w:w="0" w:type="dxa"/>
            <w:left w:w="108" w:type="dxa"/>
            <w:bottom w:w="0" w:type="dxa"/>
            <w:right w:w="108" w:type="dxa"/>
          </w:tblCellMar>
        </w:tblPrEx>
        <w:trPr>
          <w:trHeight w:val="254" w:hRule="atLeast"/>
        </w:trPr>
        <w:tc>
          <w:tcPr>
            <w:tcW w:w="31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主管部门及代码</w:t>
            </w:r>
          </w:p>
        </w:tc>
        <w:tc>
          <w:tcPr>
            <w:tcW w:w="2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四川省商务厅322</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实施单位</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四川商务职业学院</w:t>
            </w:r>
          </w:p>
        </w:tc>
      </w:tr>
      <w:tr>
        <w:tblPrEx>
          <w:tblCellMar>
            <w:top w:w="0" w:type="dxa"/>
            <w:left w:w="108" w:type="dxa"/>
            <w:bottom w:w="0" w:type="dxa"/>
            <w:right w:w="108" w:type="dxa"/>
          </w:tblCellMar>
        </w:tblPrEx>
        <w:trPr>
          <w:trHeight w:val="341" w:hRule="atLeast"/>
        </w:trPr>
        <w:tc>
          <w:tcPr>
            <w:tcW w:w="31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项目预算</w:t>
            </w:r>
          </w:p>
          <w:p>
            <w:pPr>
              <w:widowControl/>
              <w:spacing w:line="320" w:lineRule="exact"/>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执行情况</w:t>
            </w:r>
          </w:p>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（万元）</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 xml:space="preserve"> 预算数：</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133</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 xml:space="preserve"> 执行数：</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46.45</w:t>
            </w:r>
          </w:p>
        </w:tc>
      </w:tr>
      <w:tr>
        <w:tblPrEx>
          <w:tblCellMar>
            <w:top w:w="0" w:type="dxa"/>
            <w:left w:w="108" w:type="dxa"/>
            <w:bottom w:w="0" w:type="dxa"/>
            <w:right w:w="108" w:type="dxa"/>
          </w:tblCellMar>
        </w:tblPrEx>
        <w:trPr>
          <w:trHeight w:val="555" w:hRule="atLeast"/>
        </w:trPr>
        <w:tc>
          <w:tcPr>
            <w:tcW w:w="31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其中：</w:t>
            </w:r>
          </w:p>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财政拨款</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59.5</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其中：</w:t>
            </w:r>
          </w:p>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财政拨款</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42.05</w:t>
            </w:r>
          </w:p>
        </w:tc>
      </w:tr>
      <w:tr>
        <w:tblPrEx>
          <w:tblCellMar>
            <w:top w:w="0" w:type="dxa"/>
            <w:left w:w="108" w:type="dxa"/>
            <w:bottom w:w="0" w:type="dxa"/>
            <w:right w:w="108" w:type="dxa"/>
          </w:tblCellMar>
        </w:tblPrEx>
        <w:trPr>
          <w:trHeight w:val="341" w:hRule="atLeast"/>
        </w:trPr>
        <w:tc>
          <w:tcPr>
            <w:tcW w:w="31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其他资金</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73.5</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其他资金</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4.4</w:t>
            </w:r>
          </w:p>
        </w:tc>
      </w:tr>
      <w:tr>
        <w:tblPrEx>
          <w:tblCellMar>
            <w:top w:w="0" w:type="dxa"/>
            <w:left w:w="108" w:type="dxa"/>
            <w:bottom w:w="0" w:type="dxa"/>
            <w:right w:w="108" w:type="dxa"/>
          </w:tblCellMar>
        </w:tblPrEx>
        <w:trPr>
          <w:trHeight w:val="217" w:hRule="atLeast"/>
        </w:trPr>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年度总体目标</w:t>
            </w:r>
          </w:p>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完成情况</w:t>
            </w:r>
          </w:p>
        </w:tc>
        <w:tc>
          <w:tcPr>
            <w:tcW w:w="40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预期目标</w:t>
            </w:r>
          </w:p>
        </w:tc>
        <w:tc>
          <w:tcPr>
            <w:tcW w:w="37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目标实际完成情况</w:t>
            </w:r>
          </w:p>
        </w:tc>
      </w:tr>
      <w:tr>
        <w:tblPrEx>
          <w:tblCellMar>
            <w:top w:w="0" w:type="dxa"/>
            <w:left w:w="108" w:type="dxa"/>
            <w:bottom w:w="0" w:type="dxa"/>
            <w:right w:w="108" w:type="dxa"/>
          </w:tblCellMar>
        </w:tblPrEx>
        <w:trPr>
          <w:trHeight w:val="797" w:hRule="atLeast"/>
        </w:trPr>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4063"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仿宋_GB2312" w:hAnsi="仿宋_GB2312" w:eastAsia="仿宋_GB2312" w:cs="仿宋_GB2312"/>
                <w:sz w:val="20"/>
                <w:szCs w:val="20"/>
              </w:rPr>
            </w:pPr>
            <w:r>
              <w:rPr>
                <w:rFonts w:hint="eastAsia" w:ascii="仿宋_GB2312" w:hAnsi="仿宋_GB2312" w:eastAsia="仿宋_GB2312" w:cs="仿宋_GB2312"/>
                <w:sz w:val="20"/>
                <w:szCs w:val="20"/>
              </w:rPr>
              <w:t>通过举办商道艺术节等特色校园活动，丰富校园文化的内容,凝炼出特色,达到文化传承的目的，完成国家层面对的主题庆祝活动。为推动学院校园文化建设，丰富学生课外活动，充实青年教师的文化生活，让广大学生、青年教师的活动更多样化。</w:t>
            </w:r>
          </w:p>
          <w:p>
            <w:pPr>
              <w:pStyle w:val="2"/>
              <w:spacing w:before="93"/>
              <w:rPr>
                <w:rFonts w:hAnsi="仿宋_GB2312" w:cs="仿宋_GB2312"/>
                <w:sz w:val="20"/>
                <w:szCs w:val="20"/>
              </w:rPr>
            </w:pPr>
          </w:p>
          <w:p>
            <w:pPr>
              <w:pStyle w:val="2"/>
              <w:spacing w:before="93"/>
              <w:rPr>
                <w:rFonts w:hAnsi="仿宋_GB2312" w:cs="仿宋_GB2312"/>
                <w:sz w:val="20"/>
                <w:szCs w:val="20"/>
              </w:rPr>
            </w:pPr>
          </w:p>
        </w:tc>
        <w:tc>
          <w:tcPr>
            <w:tcW w:w="3723"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仿宋_GB2312" w:hAnsi="仿宋_GB2312" w:eastAsia="仿宋_GB2312" w:cs="仿宋_GB2312"/>
                <w:sz w:val="20"/>
                <w:szCs w:val="20"/>
              </w:rPr>
            </w:pPr>
            <w:r>
              <w:rPr>
                <w:rFonts w:hint="eastAsia" w:ascii="仿宋_GB2312" w:hAnsi="仿宋_GB2312" w:eastAsia="仿宋_GB2312" w:cs="仿宋_GB2312"/>
                <w:sz w:val="20"/>
                <w:szCs w:val="20"/>
              </w:rPr>
              <w:t>1.第15届商道文化节受新冠肺炎疫情影响，在学院“非必要不外出”的学生防疫管理措施下，为丰富学生在校期间课余生活，第15届商道文化节活动在不聚集，小范围原则下开展了“育商道匠心之魂，铸百年职教初心”商道文化节系列活动，①“商院好声音”线上K歌比赛。②“建党100周年”主题演讲比赛。③“强国有我、请党放心”主题抖音短视频比赛。④“百日健康行”活动。同时各系部除开展上述活动外，结合系部自身情况，各系分别开展了多次符合疫情防控要求的商道文化节活动。</w:t>
            </w:r>
          </w:p>
          <w:p>
            <w:pPr>
              <w:widowControl/>
              <w:spacing w:line="320" w:lineRule="exact"/>
              <w:jc w:val="left"/>
              <w:textAlignment w:val="top"/>
              <w:rPr>
                <w:rFonts w:ascii="仿宋_GB2312" w:hAnsi="仿宋_GB2312" w:eastAsia="仿宋_GB2312" w:cs="仿宋_GB2312"/>
                <w:sz w:val="20"/>
                <w:szCs w:val="20"/>
              </w:rPr>
            </w:pPr>
            <w:r>
              <w:rPr>
                <w:rFonts w:hint="eastAsia" w:ascii="仿宋_GB2312" w:hAnsi="仿宋_GB2312" w:eastAsia="仿宋_GB2312" w:cs="仿宋_GB2312"/>
                <w:sz w:val="20"/>
                <w:szCs w:val="20"/>
              </w:rPr>
              <w:t>2.邮寄学生档案：根据2021届毕业生档案派遣情况，完成2498件档案包裹的邮寄，其中转生本学生档案，按升本学校要求统一打包邮寄。</w:t>
            </w:r>
          </w:p>
          <w:p>
            <w:pPr>
              <w:widowControl/>
              <w:spacing w:line="320" w:lineRule="exact"/>
              <w:jc w:val="left"/>
              <w:textAlignment w:val="top"/>
              <w:rPr>
                <w:rFonts w:ascii="仿宋_GB2312" w:hAnsi="仿宋_GB2312" w:eastAsia="仿宋_GB2312" w:cs="仿宋_GB2312"/>
                <w:sz w:val="20"/>
                <w:szCs w:val="20"/>
              </w:rPr>
            </w:pPr>
            <w:r>
              <w:rPr>
                <w:rFonts w:hint="eastAsia" w:ascii="仿宋_GB2312" w:hAnsi="仿宋_GB2312" w:eastAsia="仿宋_GB2312" w:cs="仿宋_GB2312"/>
                <w:sz w:val="20"/>
                <w:szCs w:val="20"/>
              </w:rPr>
              <w:t>3.2021年我院社团经费主要用于两校区社联组织的正常运营、学院大型社团活动的开展、优秀社团活动的支持：完成两校区社联常规运行及社联、社团年度优秀的评选和奖励；完成八项大型社团活动。</w:t>
            </w:r>
          </w:p>
        </w:tc>
      </w:tr>
      <w:tr>
        <w:tblPrEx>
          <w:tblCellMar>
            <w:top w:w="0" w:type="dxa"/>
            <w:left w:w="108" w:type="dxa"/>
            <w:bottom w:w="0" w:type="dxa"/>
            <w:right w:w="108" w:type="dxa"/>
          </w:tblCellMar>
        </w:tblPrEx>
        <w:trPr>
          <w:trHeight w:val="693" w:hRule="atLeast"/>
        </w:trPr>
        <w:tc>
          <w:tcPr>
            <w:tcW w:w="2025"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年度绩效指标完成情况</w:t>
            </w:r>
          </w:p>
        </w:tc>
        <w:tc>
          <w:tcPr>
            <w:tcW w:w="1170"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一级</w:t>
            </w:r>
          </w:p>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二级</w:t>
            </w:r>
          </w:p>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三级</w:t>
            </w:r>
          </w:p>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预期指标值</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实际完成指标值</w:t>
            </w:r>
          </w:p>
        </w:tc>
      </w:tr>
      <w:tr>
        <w:tblPrEx>
          <w:tblCellMar>
            <w:top w:w="0" w:type="dxa"/>
            <w:left w:w="108" w:type="dxa"/>
            <w:bottom w:w="0" w:type="dxa"/>
            <w:right w:w="108" w:type="dxa"/>
          </w:tblCellMar>
        </w:tblPrEx>
        <w:trPr>
          <w:trHeight w:val="415" w:hRule="atLeast"/>
        </w:trPr>
        <w:tc>
          <w:tcPr>
            <w:tcW w:w="202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完成</w:t>
            </w:r>
          </w:p>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675"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数量指标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学生社团个数</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71个</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61个</w:t>
            </w:r>
          </w:p>
        </w:tc>
      </w:tr>
      <w:tr>
        <w:tblPrEx>
          <w:tblCellMar>
            <w:top w:w="0" w:type="dxa"/>
            <w:left w:w="108" w:type="dxa"/>
            <w:bottom w:w="0" w:type="dxa"/>
            <w:right w:w="108" w:type="dxa"/>
          </w:tblCellMar>
        </w:tblPrEx>
        <w:trPr>
          <w:trHeight w:val="415" w:hRule="atLeast"/>
        </w:trPr>
        <w:tc>
          <w:tcPr>
            <w:tcW w:w="202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70" w:type="dxa"/>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0"/>
                <w:szCs w:val="20"/>
              </w:rPr>
            </w:pPr>
          </w:p>
        </w:tc>
        <w:tc>
          <w:tcPr>
            <w:tcW w:w="1675" w:type="dxa"/>
            <w:vMerge w:val="continue"/>
            <w:tcBorders>
              <w:left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0"/>
                <w:szCs w:val="20"/>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邮寄学生档案份数</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3500份</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3400份</w:t>
            </w:r>
          </w:p>
        </w:tc>
      </w:tr>
      <w:tr>
        <w:tblPrEx>
          <w:tblCellMar>
            <w:top w:w="0" w:type="dxa"/>
            <w:left w:w="108" w:type="dxa"/>
            <w:bottom w:w="0" w:type="dxa"/>
            <w:right w:w="108" w:type="dxa"/>
          </w:tblCellMar>
        </w:tblPrEx>
        <w:trPr>
          <w:trHeight w:val="415" w:hRule="atLeast"/>
        </w:trPr>
        <w:tc>
          <w:tcPr>
            <w:tcW w:w="202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70" w:type="dxa"/>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0"/>
                <w:szCs w:val="20"/>
              </w:rPr>
            </w:pPr>
          </w:p>
        </w:tc>
        <w:tc>
          <w:tcPr>
            <w:tcW w:w="1675" w:type="dxa"/>
            <w:vMerge w:val="continue"/>
            <w:tcBorders>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0"/>
                <w:szCs w:val="20"/>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全院心理健康活动场次</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2场</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2场</w:t>
            </w:r>
          </w:p>
        </w:tc>
      </w:tr>
      <w:tr>
        <w:tblPrEx>
          <w:tblCellMar>
            <w:top w:w="0" w:type="dxa"/>
            <w:left w:w="108" w:type="dxa"/>
            <w:bottom w:w="0" w:type="dxa"/>
            <w:right w:w="108" w:type="dxa"/>
          </w:tblCellMar>
        </w:tblPrEx>
        <w:trPr>
          <w:trHeight w:val="415" w:hRule="atLeast"/>
        </w:trPr>
        <w:tc>
          <w:tcPr>
            <w:tcW w:w="202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0"/>
                <w:szCs w:val="20"/>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质量指标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r>
      <w:tr>
        <w:tblPrEx>
          <w:tblCellMar>
            <w:top w:w="0" w:type="dxa"/>
            <w:left w:w="108" w:type="dxa"/>
            <w:bottom w:w="0" w:type="dxa"/>
            <w:right w:w="108" w:type="dxa"/>
          </w:tblCellMar>
        </w:tblPrEx>
        <w:trPr>
          <w:trHeight w:val="415" w:hRule="atLeast"/>
        </w:trPr>
        <w:tc>
          <w:tcPr>
            <w:tcW w:w="202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0"/>
                <w:szCs w:val="20"/>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时效指标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r>
      <w:tr>
        <w:tblPrEx>
          <w:tblCellMar>
            <w:top w:w="0" w:type="dxa"/>
            <w:left w:w="108" w:type="dxa"/>
            <w:bottom w:w="0" w:type="dxa"/>
            <w:right w:w="108" w:type="dxa"/>
          </w:tblCellMar>
        </w:tblPrEx>
        <w:trPr>
          <w:trHeight w:val="480" w:hRule="atLeast"/>
        </w:trPr>
        <w:tc>
          <w:tcPr>
            <w:tcW w:w="202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0"/>
                <w:szCs w:val="20"/>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成本指标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r>
      <w:tr>
        <w:tblPrEx>
          <w:tblCellMar>
            <w:top w:w="0" w:type="dxa"/>
            <w:left w:w="108" w:type="dxa"/>
            <w:bottom w:w="0" w:type="dxa"/>
            <w:right w:w="108" w:type="dxa"/>
          </w:tblCellMar>
        </w:tblPrEx>
        <w:trPr>
          <w:trHeight w:val="480" w:hRule="atLeast"/>
        </w:trPr>
        <w:tc>
          <w:tcPr>
            <w:tcW w:w="202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效益</w:t>
            </w:r>
          </w:p>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经济效益  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r>
      <w:tr>
        <w:tblPrEx>
          <w:tblCellMar>
            <w:top w:w="0" w:type="dxa"/>
            <w:left w:w="108" w:type="dxa"/>
            <w:bottom w:w="0" w:type="dxa"/>
            <w:right w:w="108" w:type="dxa"/>
          </w:tblCellMar>
        </w:tblPrEx>
        <w:trPr>
          <w:trHeight w:val="480" w:hRule="atLeast"/>
        </w:trPr>
        <w:tc>
          <w:tcPr>
            <w:tcW w:w="202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0"/>
                <w:szCs w:val="20"/>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社会效益  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r>
      <w:tr>
        <w:tblPrEx>
          <w:tblCellMar>
            <w:top w:w="0" w:type="dxa"/>
            <w:left w:w="108" w:type="dxa"/>
            <w:bottom w:w="0" w:type="dxa"/>
            <w:right w:w="108" w:type="dxa"/>
          </w:tblCellMar>
        </w:tblPrEx>
        <w:trPr>
          <w:trHeight w:val="577" w:hRule="atLeast"/>
        </w:trPr>
        <w:tc>
          <w:tcPr>
            <w:tcW w:w="202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0"/>
                <w:szCs w:val="20"/>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ind w:left="383" w:leftChars="87" w:hanging="200" w:hangingChars="100"/>
              <w:jc w:val="left"/>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生态效益  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对师生身体健康</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良好</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良好</w:t>
            </w:r>
          </w:p>
        </w:tc>
      </w:tr>
      <w:tr>
        <w:tblPrEx>
          <w:tblCellMar>
            <w:top w:w="0" w:type="dxa"/>
            <w:left w:w="108" w:type="dxa"/>
            <w:bottom w:w="0" w:type="dxa"/>
            <w:right w:w="108" w:type="dxa"/>
          </w:tblCellMar>
        </w:tblPrEx>
        <w:trPr>
          <w:trHeight w:val="480" w:hRule="atLeast"/>
        </w:trPr>
        <w:tc>
          <w:tcPr>
            <w:tcW w:w="202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0"/>
                <w:szCs w:val="20"/>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可持续影响 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r>
      <w:tr>
        <w:tblPrEx>
          <w:tblCellMar>
            <w:top w:w="0" w:type="dxa"/>
            <w:left w:w="108" w:type="dxa"/>
            <w:bottom w:w="0" w:type="dxa"/>
            <w:right w:w="108" w:type="dxa"/>
          </w:tblCellMar>
        </w:tblPrEx>
        <w:trPr>
          <w:trHeight w:val="530" w:hRule="atLeast"/>
        </w:trPr>
        <w:tc>
          <w:tcPr>
            <w:tcW w:w="2025"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满意</w:t>
            </w:r>
          </w:p>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度指标</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满意度</w:t>
            </w:r>
          </w:p>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师生满意度</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≥95%</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≥95%</w:t>
            </w:r>
          </w:p>
        </w:tc>
      </w:tr>
    </w:tbl>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rPr>
      </w:pPr>
    </w:p>
    <w:p>
      <w:pPr>
        <w:pStyle w:val="2"/>
        <w:spacing w:before="93"/>
      </w:pPr>
    </w:p>
    <w:p>
      <w:pPr>
        <w:spacing w:line="600" w:lineRule="exact"/>
        <w:jc w:val="center"/>
        <w:rPr>
          <w:rFonts w:ascii="黑体" w:hAnsi="黑体" w:eastAsia="黑体"/>
          <w:sz w:val="44"/>
          <w:szCs w:val="44"/>
        </w:rPr>
      </w:pPr>
    </w:p>
    <w:p>
      <w:pPr>
        <w:spacing w:line="600" w:lineRule="exact"/>
        <w:jc w:val="center"/>
        <w:rPr>
          <w:rFonts w:ascii="黑体" w:hAnsi="黑体" w:eastAsia="黑体"/>
          <w:sz w:val="44"/>
          <w:szCs w:val="44"/>
        </w:rPr>
      </w:pPr>
    </w:p>
    <w:p>
      <w:pPr>
        <w:spacing w:line="600" w:lineRule="exact"/>
        <w:jc w:val="center"/>
        <w:rPr>
          <w:rFonts w:ascii="黑体" w:hAnsi="黑体" w:eastAsia="黑体"/>
          <w:sz w:val="44"/>
          <w:szCs w:val="44"/>
        </w:rPr>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3"/>
        <w:spacing w:before="93"/>
        <w:ind w:firstLine="0"/>
      </w:pPr>
    </w:p>
    <w:tbl>
      <w:tblPr>
        <w:tblStyle w:val="13"/>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2025"/>
        <w:gridCol w:w="1170"/>
        <w:gridCol w:w="1675"/>
        <w:gridCol w:w="1218"/>
        <w:gridCol w:w="1254"/>
        <w:gridCol w:w="2469"/>
      </w:tblGrid>
      <w:tr>
        <w:tblPrEx>
          <w:tblCellMar>
            <w:top w:w="0" w:type="dxa"/>
            <w:left w:w="108" w:type="dxa"/>
            <w:bottom w:w="0" w:type="dxa"/>
            <w:right w:w="108" w:type="dxa"/>
          </w:tblCellMar>
        </w:tblPrEx>
        <w:trPr>
          <w:trHeight w:val="675" w:hRule="atLeast"/>
        </w:trPr>
        <w:tc>
          <w:tcPr>
            <w:tcW w:w="9811" w:type="dxa"/>
            <w:gridSpan w:val="6"/>
            <w:tcBorders>
              <w:top w:val="nil"/>
              <w:left w:val="nil"/>
              <w:bottom w:val="nil"/>
              <w:right w:val="nil"/>
            </w:tcBorders>
            <w:shd w:val="clear" w:color="auto" w:fill="auto"/>
            <w:vAlign w:val="center"/>
          </w:tcPr>
          <w:p>
            <w:pPr>
              <w:widowControl/>
              <w:jc w:val="center"/>
              <w:textAlignment w:val="center"/>
              <w:rPr>
                <w:rFonts w:hint="eastAsia" w:ascii="宋体" w:hAnsi="宋体" w:cs="宋体"/>
                <w:b/>
                <w:color w:val="000000"/>
                <w:sz w:val="32"/>
                <w:szCs w:val="32"/>
              </w:rPr>
            </w:pPr>
          </w:p>
          <w:p>
            <w:pPr>
              <w:widowControl/>
              <w:jc w:val="center"/>
              <w:textAlignment w:val="center"/>
              <w:rPr>
                <w:rFonts w:ascii="宋体" w:hAnsi="宋体" w:cs="宋体"/>
                <w:b/>
                <w:color w:val="000000"/>
                <w:sz w:val="32"/>
                <w:szCs w:val="32"/>
              </w:rPr>
            </w:pPr>
            <w:r>
              <w:rPr>
                <w:rFonts w:hint="eastAsia" w:ascii="宋体" w:hAnsi="宋体" w:cs="宋体"/>
                <w:b/>
                <w:color w:val="000000"/>
                <w:sz w:val="32"/>
                <w:szCs w:val="32"/>
              </w:rPr>
              <w:t>2021年100万元以上（含）特定目标类部门预算项目绩效目标自评</w:t>
            </w:r>
          </w:p>
          <w:p>
            <w:pPr>
              <w:widowControl/>
              <w:ind w:firstLine="2550" w:firstLineChars="794"/>
              <w:textAlignment w:val="center"/>
              <w:rPr>
                <w:rFonts w:ascii="宋体" w:hAnsi="宋体" w:cs="宋体"/>
                <w:b/>
                <w:sz w:val="32"/>
                <w:szCs w:val="32"/>
              </w:rPr>
            </w:pPr>
            <w:r>
              <w:rPr>
                <w:rFonts w:hint="eastAsia" w:ascii="宋体" w:hAnsi="宋体" w:cs="宋体"/>
                <w:b/>
                <w:sz w:val="32"/>
                <w:szCs w:val="32"/>
              </w:rPr>
              <w:t>（教育教学成本（聘用人员经费）项目）</w:t>
            </w:r>
          </w:p>
        </w:tc>
      </w:tr>
      <w:tr>
        <w:tblPrEx>
          <w:tblCellMar>
            <w:top w:w="0" w:type="dxa"/>
            <w:left w:w="108" w:type="dxa"/>
            <w:bottom w:w="0" w:type="dxa"/>
            <w:right w:w="108" w:type="dxa"/>
          </w:tblCellMar>
        </w:tblPrEx>
        <w:trPr>
          <w:trHeight w:val="254" w:hRule="atLeast"/>
        </w:trPr>
        <w:tc>
          <w:tcPr>
            <w:tcW w:w="31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主管部门及代码</w:t>
            </w:r>
          </w:p>
        </w:tc>
        <w:tc>
          <w:tcPr>
            <w:tcW w:w="2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四川省商务厅322</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实施单位</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四川商务职业学院</w:t>
            </w:r>
          </w:p>
        </w:tc>
      </w:tr>
      <w:tr>
        <w:tblPrEx>
          <w:tblCellMar>
            <w:top w:w="0" w:type="dxa"/>
            <w:left w:w="108" w:type="dxa"/>
            <w:bottom w:w="0" w:type="dxa"/>
            <w:right w:w="108" w:type="dxa"/>
          </w:tblCellMar>
        </w:tblPrEx>
        <w:trPr>
          <w:trHeight w:val="341" w:hRule="atLeast"/>
        </w:trPr>
        <w:tc>
          <w:tcPr>
            <w:tcW w:w="31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项目预算</w:t>
            </w:r>
          </w:p>
          <w:p>
            <w:pPr>
              <w:widowControl/>
              <w:spacing w:line="320" w:lineRule="exact"/>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执行情况</w:t>
            </w:r>
          </w:p>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（万元）</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 xml:space="preserve"> 预算数：</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180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 xml:space="preserve"> 执行数：</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180</w:t>
            </w:r>
          </w:p>
        </w:tc>
      </w:tr>
      <w:tr>
        <w:tblPrEx>
          <w:tblCellMar>
            <w:top w:w="0" w:type="dxa"/>
            <w:left w:w="108" w:type="dxa"/>
            <w:bottom w:w="0" w:type="dxa"/>
            <w:right w:w="108" w:type="dxa"/>
          </w:tblCellMar>
        </w:tblPrEx>
        <w:trPr>
          <w:trHeight w:val="555" w:hRule="atLeast"/>
        </w:trPr>
        <w:tc>
          <w:tcPr>
            <w:tcW w:w="31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其中：</w:t>
            </w:r>
          </w:p>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财政拨款</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120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其中：</w:t>
            </w:r>
          </w:p>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财政拨款</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120</w:t>
            </w:r>
          </w:p>
        </w:tc>
      </w:tr>
      <w:tr>
        <w:tblPrEx>
          <w:tblCellMar>
            <w:top w:w="0" w:type="dxa"/>
            <w:left w:w="108" w:type="dxa"/>
            <w:bottom w:w="0" w:type="dxa"/>
            <w:right w:w="108" w:type="dxa"/>
          </w:tblCellMar>
        </w:tblPrEx>
        <w:trPr>
          <w:trHeight w:val="341" w:hRule="atLeast"/>
        </w:trPr>
        <w:tc>
          <w:tcPr>
            <w:tcW w:w="31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其他资金</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60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其他资金</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60</w:t>
            </w:r>
          </w:p>
        </w:tc>
      </w:tr>
      <w:tr>
        <w:tblPrEx>
          <w:tblCellMar>
            <w:top w:w="0" w:type="dxa"/>
            <w:left w:w="108" w:type="dxa"/>
            <w:bottom w:w="0" w:type="dxa"/>
            <w:right w:w="108" w:type="dxa"/>
          </w:tblCellMar>
        </w:tblPrEx>
        <w:trPr>
          <w:trHeight w:val="217" w:hRule="atLeast"/>
        </w:trPr>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年度总体目标</w:t>
            </w:r>
          </w:p>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完成情况</w:t>
            </w:r>
          </w:p>
        </w:tc>
        <w:tc>
          <w:tcPr>
            <w:tcW w:w="40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预期目标</w:t>
            </w:r>
          </w:p>
        </w:tc>
        <w:tc>
          <w:tcPr>
            <w:tcW w:w="37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目标实际完成情况</w:t>
            </w:r>
          </w:p>
        </w:tc>
      </w:tr>
      <w:tr>
        <w:tblPrEx>
          <w:tblCellMar>
            <w:top w:w="0" w:type="dxa"/>
            <w:left w:w="108" w:type="dxa"/>
            <w:bottom w:w="0" w:type="dxa"/>
            <w:right w:w="108" w:type="dxa"/>
          </w:tblCellMar>
        </w:tblPrEx>
        <w:trPr>
          <w:trHeight w:val="2591" w:hRule="atLeast"/>
        </w:trPr>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4063"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仿宋_GB2312" w:hAnsi="仿宋_GB2312" w:eastAsia="仿宋_GB2312" w:cs="仿宋_GB2312"/>
                <w:sz w:val="20"/>
                <w:szCs w:val="20"/>
              </w:rPr>
            </w:pPr>
            <w:r>
              <w:rPr>
                <w:rFonts w:hint="eastAsia" w:ascii="仿宋_GB2312" w:hAnsi="仿宋_GB2312" w:eastAsia="仿宋_GB2312" w:cs="仿宋_GB2312"/>
                <w:sz w:val="20"/>
                <w:szCs w:val="20"/>
              </w:rPr>
              <w:t>为了突出高等职业教育办学特色，实现产教融合，校企合作，各个专业根据专业特点，聘请企业、行业师资参与人才培养，同事弥补学院师资不足，改善教师队伍结构。培养适用性、技能型人才，提高教育教学质量，培养更多服务于经济建设的人</w:t>
            </w:r>
          </w:p>
        </w:tc>
        <w:tc>
          <w:tcPr>
            <w:tcW w:w="3723"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仿宋_GB2312" w:hAnsi="仿宋_GB2312" w:eastAsia="仿宋_GB2312" w:cs="仿宋_GB2312"/>
                <w:sz w:val="20"/>
                <w:szCs w:val="20"/>
              </w:rPr>
            </w:pPr>
            <w:r>
              <w:rPr>
                <w:rFonts w:hint="eastAsia" w:ascii="仿宋_GB2312" w:hAnsi="仿宋_GB2312" w:eastAsia="仿宋_GB2312" w:cs="仿宋_GB2312"/>
                <w:sz w:val="20"/>
                <w:szCs w:val="20"/>
              </w:rPr>
              <w:t>突出高等职业教育办学特色，实现产教融合，校企合作，各个专业根据专业特点，聘请企业、行业师资参与人才培养，同事弥补学院师资不足，改善教师队伍结构。培养适用性、技能型人才，提高教育教学质量，培养更多服务于经济建设的人</w:t>
            </w:r>
          </w:p>
        </w:tc>
      </w:tr>
      <w:tr>
        <w:tblPrEx>
          <w:tblCellMar>
            <w:top w:w="0" w:type="dxa"/>
            <w:left w:w="108" w:type="dxa"/>
            <w:bottom w:w="0" w:type="dxa"/>
            <w:right w:w="108" w:type="dxa"/>
          </w:tblCellMar>
        </w:tblPrEx>
        <w:trPr>
          <w:trHeight w:val="693" w:hRule="atLeast"/>
        </w:trPr>
        <w:tc>
          <w:tcPr>
            <w:tcW w:w="2025"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年度绩效指标完成情况</w:t>
            </w:r>
          </w:p>
        </w:tc>
        <w:tc>
          <w:tcPr>
            <w:tcW w:w="1170"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一级</w:t>
            </w:r>
          </w:p>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二级</w:t>
            </w:r>
          </w:p>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三级</w:t>
            </w:r>
          </w:p>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预期指标值</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实际完成指标值</w:t>
            </w:r>
          </w:p>
        </w:tc>
      </w:tr>
      <w:tr>
        <w:tblPrEx>
          <w:tblCellMar>
            <w:top w:w="0" w:type="dxa"/>
            <w:left w:w="108" w:type="dxa"/>
            <w:bottom w:w="0" w:type="dxa"/>
            <w:right w:w="108" w:type="dxa"/>
          </w:tblCellMar>
        </w:tblPrEx>
        <w:trPr>
          <w:trHeight w:val="415" w:hRule="atLeast"/>
        </w:trPr>
        <w:tc>
          <w:tcPr>
            <w:tcW w:w="202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完成</w:t>
            </w:r>
          </w:p>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675"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数量指标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聘用职工及兼课教师</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约200人</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取12月数据为180人</w:t>
            </w:r>
          </w:p>
        </w:tc>
      </w:tr>
      <w:tr>
        <w:tblPrEx>
          <w:tblCellMar>
            <w:top w:w="0" w:type="dxa"/>
            <w:left w:w="108" w:type="dxa"/>
            <w:bottom w:w="0" w:type="dxa"/>
            <w:right w:w="108" w:type="dxa"/>
          </w:tblCellMar>
        </w:tblPrEx>
        <w:trPr>
          <w:trHeight w:val="415" w:hRule="atLeast"/>
        </w:trPr>
        <w:tc>
          <w:tcPr>
            <w:tcW w:w="202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0"/>
                <w:szCs w:val="20"/>
              </w:rPr>
            </w:pPr>
          </w:p>
        </w:tc>
        <w:tc>
          <w:tcPr>
            <w:tcW w:w="1675" w:type="dxa"/>
            <w:vMerge w:val="continue"/>
            <w:tcBorders>
              <w:left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0"/>
                <w:szCs w:val="20"/>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教师课酬，教辅津贴</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40元/节</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初级职称25/节中级职称41.6元/节，高级职称52.5/节</w:t>
            </w:r>
          </w:p>
        </w:tc>
      </w:tr>
      <w:tr>
        <w:tblPrEx>
          <w:tblCellMar>
            <w:top w:w="0" w:type="dxa"/>
            <w:left w:w="108" w:type="dxa"/>
            <w:bottom w:w="0" w:type="dxa"/>
            <w:right w:w="108" w:type="dxa"/>
          </w:tblCellMar>
        </w:tblPrEx>
        <w:trPr>
          <w:trHeight w:val="415" w:hRule="atLeast"/>
        </w:trPr>
        <w:tc>
          <w:tcPr>
            <w:tcW w:w="202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0"/>
                <w:szCs w:val="20"/>
              </w:rPr>
            </w:pPr>
          </w:p>
        </w:tc>
        <w:tc>
          <w:tcPr>
            <w:tcW w:w="1675" w:type="dxa"/>
            <w:vMerge w:val="continue"/>
            <w:tcBorders>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0"/>
                <w:szCs w:val="20"/>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工作及授课时间</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10个月</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10个月</w:t>
            </w:r>
          </w:p>
        </w:tc>
      </w:tr>
      <w:tr>
        <w:tblPrEx>
          <w:tblCellMar>
            <w:top w:w="0" w:type="dxa"/>
            <w:left w:w="108" w:type="dxa"/>
            <w:bottom w:w="0" w:type="dxa"/>
            <w:right w:w="108" w:type="dxa"/>
          </w:tblCellMar>
        </w:tblPrEx>
        <w:trPr>
          <w:trHeight w:val="415" w:hRule="atLeast"/>
        </w:trPr>
        <w:tc>
          <w:tcPr>
            <w:tcW w:w="202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0"/>
                <w:szCs w:val="20"/>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质量指标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r>
      <w:tr>
        <w:tblPrEx>
          <w:tblCellMar>
            <w:top w:w="0" w:type="dxa"/>
            <w:left w:w="108" w:type="dxa"/>
            <w:bottom w:w="0" w:type="dxa"/>
            <w:right w:w="108" w:type="dxa"/>
          </w:tblCellMar>
        </w:tblPrEx>
        <w:trPr>
          <w:trHeight w:val="415" w:hRule="atLeast"/>
        </w:trPr>
        <w:tc>
          <w:tcPr>
            <w:tcW w:w="202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0"/>
                <w:szCs w:val="20"/>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时效指标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r>
      <w:tr>
        <w:tblPrEx>
          <w:tblCellMar>
            <w:top w:w="0" w:type="dxa"/>
            <w:left w:w="108" w:type="dxa"/>
            <w:bottom w:w="0" w:type="dxa"/>
            <w:right w:w="108" w:type="dxa"/>
          </w:tblCellMar>
        </w:tblPrEx>
        <w:trPr>
          <w:trHeight w:val="480" w:hRule="atLeast"/>
        </w:trPr>
        <w:tc>
          <w:tcPr>
            <w:tcW w:w="202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0"/>
                <w:szCs w:val="20"/>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成本指标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r>
      <w:tr>
        <w:tblPrEx>
          <w:tblCellMar>
            <w:top w:w="0" w:type="dxa"/>
            <w:left w:w="108" w:type="dxa"/>
            <w:bottom w:w="0" w:type="dxa"/>
            <w:right w:w="108" w:type="dxa"/>
          </w:tblCellMar>
        </w:tblPrEx>
        <w:trPr>
          <w:trHeight w:val="480" w:hRule="atLeast"/>
        </w:trPr>
        <w:tc>
          <w:tcPr>
            <w:tcW w:w="202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效益</w:t>
            </w:r>
          </w:p>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经济效益  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节约率</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30%</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30%</w:t>
            </w:r>
          </w:p>
        </w:tc>
      </w:tr>
      <w:tr>
        <w:tblPrEx>
          <w:tblCellMar>
            <w:top w:w="0" w:type="dxa"/>
            <w:left w:w="108" w:type="dxa"/>
            <w:bottom w:w="0" w:type="dxa"/>
            <w:right w:w="108" w:type="dxa"/>
          </w:tblCellMar>
        </w:tblPrEx>
        <w:trPr>
          <w:trHeight w:val="480" w:hRule="atLeast"/>
        </w:trPr>
        <w:tc>
          <w:tcPr>
            <w:tcW w:w="202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0"/>
                <w:szCs w:val="20"/>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社会效益  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r>
      <w:tr>
        <w:tblPrEx>
          <w:tblCellMar>
            <w:top w:w="0" w:type="dxa"/>
            <w:left w:w="108" w:type="dxa"/>
            <w:bottom w:w="0" w:type="dxa"/>
            <w:right w:w="108" w:type="dxa"/>
          </w:tblCellMar>
        </w:tblPrEx>
        <w:trPr>
          <w:trHeight w:val="577" w:hRule="atLeast"/>
        </w:trPr>
        <w:tc>
          <w:tcPr>
            <w:tcW w:w="202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0"/>
                <w:szCs w:val="20"/>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ind w:left="383" w:leftChars="87" w:hanging="200" w:hangingChars="100"/>
              <w:jc w:val="left"/>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生态效益  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r>
      <w:tr>
        <w:tblPrEx>
          <w:tblCellMar>
            <w:top w:w="0" w:type="dxa"/>
            <w:left w:w="108" w:type="dxa"/>
            <w:bottom w:w="0" w:type="dxa"/>
            <w:right w:w="108" w:type="dxa"/>
          </w:tblCellMar>
        </w:tblPrEx>
        <w:trPr>
          <w:trHeight w:val="480" w:hRule="atLeast"/>
        </w:trPr>
        <w:tc>
          <w:tcPr>
            <w:tcW w:w="202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0"/>
                <w:szCs w:val="20"/>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可持续影响 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r>
      <w:tr>
        <w:tblPrEx>
          <w:tblCellMar>
            <w:top w:w="0" w:type="dxa"/>
            <w:left w:w="108" w:type="dxa"/>
            <w:bottom w:w="0" w:type="dxa"/>
            <w:right w:w="108" w:type="dxa"/>
          </w:tblCellMar>
        </w:tblPrEx>
        <w:trPr>
          <w:trHeight w:val="530" w:hRule="atLeast"/>
        </w:trPr>
        <w:tc>
          <w:tcPr>
            <w:tcW w:w="2025"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满意</w:t>
            </w:r>
          </w:p>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度指标</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满意度</w:t>
            </w:r>
          </w:p>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师生满意度</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≥85%</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≥85%</w:t>
            </w:r>
          </w:p>
        </w:tc>
      </w:tr>
    </w:tbl>
    <w:p>
      <w:pPr>
        <w:pStyle w:val="2"/>
        <w:spacing w:before="93"/>
        <w:rPr>
          <w:rFonts w:hAnsi="仿宋_GB2312" w:cs="仿宋_GB2312"/>
          <w:sz w:val="20"/>
          <w:szCs w:val="20"/>
        </w:rPr>
      </w:pPr>
    </w:p>
    <w:p>
      <w:pPr>
        <w:rPr>
          <w:sz w:val="32"/>
          <w:szCs w:val="32"/>
        </w:rPr>
      </w:pPr>
      <w:r>
        <w:rPr>
          <w:sz w:val="32"/>
          <w:szCs w:val="32"/>
        </w:rPr>
        <w:br w:type="page"/>
      </w:r>
    </w:p>
    <w:p>
      <w:pPr>
        <w:pStyle w:val="3"/>
      </w:pPr>
    </w:p>
    <w:tbl>
      <w:tblPr>
        <w:tblStyle w:val="13"/>
        <w:tblpPr w:leftFromText="180" w:rightFromText="180" w:vertAnchor="text" w:horzAnchor="page" w:tblpX="1296" w:tblpY="131"/>
        <w:tblOverlap w:val="never"/>
        <w:tblW w:w="9811" w:type="dxa"/>
        <w:tblInd w:w="0" w:type="dxa"/>
        <w:tblLayout w:type="fixed"/>
        <w:tblCellMar>
          <w:top w:w="0" w:type="dxa"/>
          <w:left w:w="108" w:type="dxa"/>
          <w:bottom w:w="0" w:type="dxa"/>
          <w:right w:w="108" w:type="dxa"/>
        </w:tblCellMar>
      </w:tblPr>
      <w:tblGrid>
        <w:gridCol w:w="2025"/>
        <w:gridCol w:w="1170"/>
        <w:gridCol w:w="1675"/>
        <w:gridCol w:w="1218"/>
        <w:gridCol w:w="1254"/>
        <w:gridCol w:w="2469"/>
      </w:tblGrid>
      <w:tr>
        <w:tblPrEx>
          <w:tblCellMar>
            <w:top w:w="0" w:type="dxa"/>
            <w:left w:w="108" w:type="dxa"/>
            <w:bottom w:w="0" w:type="dxa"/>
            <w:right w:w="108" w:type="dxa"/>
          </w:tblCellMar>
        </w:tblPrEx>
        <w:trPr>
          <w:trHeight w:val="675" w:hRule="atLeast"/>
        </w:trPr>
        <w:tc>
          <w:tcPr>
            <w:tcW w:w="9811"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000000"/>
                <w:sz w:val="32"/>
                <w:szCs w:val="32"/>
                <w:u w:val="none"/>
                <w:lang w:val="en-US" w:eastAsia="zh-CN"/>
              </w:rPr>
            </w:pPr>
            <w:r>
              <w:rPr>
                <w:rFonts w:hint="eastAsia" w:ascii="宋体" w:hAnsi="宋体" w:eastAsia="宋体" w:cs="宋体"/>
                <w:b/>
                <w:i w:val="0"/>
                <w:color w:val="000000"/>
                <w:sz w:val="32"/>
                <w:szCs w:val="32"/>
                <w:u w:val="none"/>
                <w:lang w:val="en-US" w:eastAsia="zh-CN"/>
              </w:rPr>
              <w:t>2021年100万元以上（含）特定目标类部门预算项目绩效目标自评</w:t>
            </w:r>
          </w:p>
          <w:p>
            <w:pPr>
              <w:widowControl/>
              <w:jc w:val="center"/>
              <w:textAlignment w:val="center"/>
              <w:rPr>
                <w:rFonts w:hint="eastAsia" w:ascii="宋体" w:hAnsi="宋体" w:eastAsia="宋体" w:cs="宋体"/>
                <w:b/>
                <w:sz w:val="32"/>
                <w:szCs w:val="32"/>
                <w:lang w:eastAsia="zh-CN"/>
              </w:rPr>
            </w:pPr>
            <w:r>
              <w:rPr>
                <w:rFonts w:hint="eastAsia" w:ascii="宋体" w:hAnsi="宋体" w:cs="宋体"/>
                <w:b/>
                <w:sz w:val="32"/>
                <w:szCs w:val="32"/>
                <w:lang w:eastAsia="zh-CN"/>
              </w:rPr>
              <w:t>（</w:t>
            </w:r>
            <w:r>
              <w:rPr>
                <w:rFonts w:hint="eastAsia" w:ascii="宋体" w:hAnsi="宋体" w:cs="宋体"/>
                <w:b/>
                <w:sz w:val="32"/>
                <w:szCs w:val="32"/>
              </w:rPr>
              <w:t>教育教学成本（职工伙食费）</w:t>
            </w:r>
            <w:r>
              <w:rPr>
                <w:rFonts w:hint="eastAsia" w:ascii="宋体" w:hAnsi="宋体" w:cs="宋体"/>
                <w:b/>
                <w:sz w:val="32"/>
                <w:szCs w:val="32"/>
                <w:lang w:eastAsia="zh-CN"/>
              </w:rPr>
              <w:t>项目）</w:t>
            </w:r>
          </w:p>
        </w:tc>
      </w:tr>
      <w:tr>
        <w:tblPrEx>
          <w:tblCellMar>
            <w:top w:w="0" w:type="dxa"/>
            <w:left w:w="108" w:type="dxa"/>
            <w:bottom w:w="0" w:type="dxa"/>
            <w:right w:w="108" w:type="dxa"/>
          </w:tblCellMar>
        </w:tblPrEx>
        <w:trPr>
          <w:trHeight w:val="254" w:hRule="atLeast"/>
        </w:trPr>
        <w:tc>
          <w:tcPr>
            <w:tcW w:w="31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rPr>
              <w:t>主管部门及代码</w:t>
            </w:r>
          </w:p>
        </w:tc>
        <w:tc>
          <w:tcPr>
            <w:tcW w:w="2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rPr>
              <w:t>四川省商务厅</w:t>
            </w:r>
            <w:r>
              <w:rPr>
                <w:rFonts w:hint="eastAsia" w:ascii="仿宋_GB2312" w:hAnsi="仿宋_GB2312" w:eastAsia="仿宋_GB2312" w:cs="仿宋_GB2312"/>
                <w:sz w:val="20"/>
                <w:szCs w:val="20"/>
                <w:lang w:val="en-US" w:eastAsia="zh-CN"/>
              </w:rPr>
              <w:t>322</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rPr>
              <w:t>实施单位</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四川商务职业学院</w:t>
            </w:r>
          </w:p>
        </w:tc>
      </w:tr>
      <w:tr>
        <w:tblPrEx>
          <w:tblCellMar>
            <w:top w:w="0" w:type="dxa"/>
            <w:left w:w="108" w:type="dxa"/>
            <w:bottom w:w="0" w:type="dxa"/>
            <w:right w:w="108" w:type="dxa"/>
          </w:tblCellMar>
        </w:tblPrEx>
        <w:trPr>
          <w:trHeight w:val="341" w:hRule="atLeast"/>
        </w:trPr>
        <w:tc>
          <w:tcPr>
            <w:tcW w:w="31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项目预算</w:t>
            </w:r>
          </w:p>
          <w:p>
            <w:pPr>
              <w:widowControl/>
              <w:spacing w:line="320" w:lineRule="exact"/>
              <w:jc w:val="center"/>
              <w:textAlignment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执行情况</w:t>
            </w:r>
          </w:p>
          <w:p>
            <w:pPr>
              <w:widowControl/>
              <w:spacing w:line="320" w:lineRule="exact"/>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rPr>
              <w:t>（万元）</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rPr>
              <w:t xml:space="preserve"> 预算数：</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210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rPr>
              <w:t xml:space="preserve"> 执行数：</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210</w:t>
            </w:r>
          </w:p>
        </w:tc>
      </w:tr>
      <w:tr>
        <w:tblPrEx>
          <w:tblCellMar>
            <w:top w:w="0" w:type="dxa"/>
            <w:left w:w="108" w:type="dxa"/>
            <w:bottom w:w="0" w:type="dxa"/>
            <w:right w:w="108" w:type="dxa"/>
          </w:tblCellMar>
        </w:tblPrEx>
        <w:trPr>
          <w:trHeight w:val="555" w:hRule="atLeast"/>
        </w:trPr>
        <w:tc>
          <w:tcPr>
            <w:tcW w:w="31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0"/>
                <w:szCs w:val="20"/>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其中：</w:t>
            </w:r>
          </w:p>
          <w:p>
            <w:pPr>
              <w:widowControl/>
              <w:spacing w:line="320" w:lineRule="exact"/>
              <w:jc w:val="left"/>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rPr>
              <w:t>财政拨款</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180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其中：</w:t>
            </w:r>
          </w:p>
          <w:p>
            <w:pPr>
              <w:widowControl/>
              <w:spacing w:line="320" w:lineRule="exact"/>
              <w:jc w:val="left"/>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rPr>
              <w:t>财政拨款</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180</w:t>
            </w:r>
          </w:p>
        </w:tc>
      </w:tr>
      <w:tr>
        <w:tblPrEx>
          <w:tblCellMar>
            <w:top w:w="0" w:type="dxa"/>
            <w:left w:w="108" w:type="dxa"/>
            <w:bottom w:w="0" w:type="dxa"/>
            <w:right w:w="108" w:type="dxa"/>
          </w:tblCellMar>
        </w:tblPrEx>
        <w:trPr>
          <w:trHeight w:val="341" w:hRule="atLeast"/>
        </w:trPr>
        <w:tc>
          <w:tcPr>
            <w:tcW w:w="31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0"/>
                <w:szCs w:val="20"/>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rPr>
              <w:t>其他资金</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30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rPr>
              <w:t>其他资金</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30</w:t>
            </w:r>
          </w:p>
        </w:tc>
      </w:tr>
      <w:tr>
        <w:tblPrEx>
          <w:tblCellMar>
            <w:top w:w="0" w:type="dxa"/>
            <w:left w:w="108" w:type="dxa"/>
            <w:bottom w:w="0" w:type="dxa"/>
            <w:right w:w="108" w:type="dxa"/>
          </w:tblCellMar>
        </w:tblPrEx>
        <w:trPr>
          <w:trHeight w:val="217" w:hRule="atLeast"/>
        </w:trPr>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年度总体目标</w:t>
            </w:r>
          </w:p>
          <w:p>
            <w:pPr>
              <w:widowControl/>
              <w:spacing w:line="320" w:lineRule="exact"/>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rPr>
              <w:t>完成情况</w:t>
            </w:r>
          </w:p>
        </w:tc>
        <w:tc>
          <w:tcPr>
            <w:tcW w:w="40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rPr>
              <w:t>预期目标</w:t>
            </w:r>
          </w:p>
        </w:tc>
        <w:tc>
          <w:tcPr>
            <w:tcW w:w="37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rPr>
              <w:t>目标实际完成情况</w:t>
            </w:r>
          </w:p>
        </w:tc>
      </w:tr>
      <w:tr>
        <w:tblPrEx>
          <w:tblCellMar>
            <w:top w:w="0" w:type="dxa"/>
            <w:left w:w="108" w:type="dxa"/>
            <w:bottom w:w="0" w:type="dxa"/>
            <w:right w:w="108" w:type="dxa"/>
          </w:tblCellMar>
        </w:tblPrEx>
        <w:trPr>
          <w:trHeight w:val="797" w:hRule="atLeast"/>
        </w:trPr>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0"/>
                <w:szCs w:val="20"/>
              </w:rPr>
            </w:pPr>
          </w:p>
        </w:tc>
        <w:tc>
          <w:tcPr>
            <w:tcW w:w="4063"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保障全院600多教职工因地处远郊工作餐需要，保证全院10000名师生的正常教学工作，行政、科研、社会服务等高校功能的实现。因2019年高校扩招，大学生人数增加，导致教职工人数就餐人数增加，特别是今年肉食品大幅度上涨，2020年安排的职工工作餐预算增加80万元。</w:t>
            </w:r>
          </w:p>
          <w:p>
            <w:pPr>
              <w:pStyle w:val="2"/>
              <w:spacing w:before="93"/>
              <w:rPr>
                <w:rFonts w:hint="eastAsia" w:ascii="仿宋_GB2312" w:hAnsi="仿宋_GB2312" w:eastAsia="仿宋_GB2312" w:cs="仿宋_GB2312"/>
                <w:sz w:val="20"/>
                <w:szCs w:val="20"/>
              </w:rPr>
            </w:pPr>
          </w:p>
        </w:tc>
        <w:tc>
          <w:tcPr>
            <w:tcW w:w="3723"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完成预期目标</w:t>
            </w:r>
          </w:p>
        </w:tc>
      </w:tr>
      <w:tr>
        <w:tblPrEx>
          <w:tblCellMar>
            <w:top w:w="0" w:type="dxa"/>
            <w:left w:w="108" w:type="dxa"/>
            <w:bottom w:w="0" w:type="dxa"/>
            <w:right w:w="108" w:type="dxa"/>
          </w:tblCellMar>
        </w:tblPrEx>
        <w:trPr>
          <w:trHeight w:val="693" w:hRule="atLeast"/>
        </w:trPr>
        <w:tc>
          <w:tcPr>
            <w:tcW w:w="2025"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rPr>
              <w:t>年度绩效指标完成情况</w:t>
            </w:r>
          </w:p>
        </w:tc>
        <w:tc>
          <w:tcPr>
            <w:tcW w:w="1170"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一级</w:t>
            </w:r>
          </w:p>
          <w:p>
            <w:pPr>
              <w:widowControl/>
              <w:spacing w:line="320" w:lineRule="exact"/>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二级</w:t>
            </w:r>
          </w:p>
          <w:p>
            <w:pPr>
              <w:widowControl/>
              <w:spacing w:line="320" w:lineRule="exact"/>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三级</w:t>
            </w:r>
          </w:p>
          <w:p>
            <w:pPr>
              <w:widowControl/>
              <w:spacing w:line="320" w:lineRule="exact"/>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rPr>
              <w:t>预期指标值</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rPr>
              <w:t>实际完成指标值</w:t>
            </w:r>
          </w:p>
        </w:tc>
      </w:tr>
      <w:tr>
        <w:tblPrEx>
          <w:tblCellMar>
            <w:top w:w="0" w:type="dxa"/>
            <w:left w:w="108" w:type="dxa"/>
            <w:bottom w:w="0" w:type="dxa"/>
            <w:right w:w="108" w:type="dxa"/>
          </w:tblCellMar>
        </w:tblPrEx>
        <w:trPr>
          <w:trHeight w:val="415" w:hRule="atLeast"/>
        </w:trPr>
        <w:tc>
          <w:tcPr>
            <w:tcW w:w="2025"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0"/>
                <w:szCs w:val="20"/>
              </w:rPr>
            </w:pP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完成</w:t>
            </w:r>
          </w:p>
          <w:p>
            <w:pPr>
              <w:widowControl/>
              <w:spacing w:line="320" w:lineRule="exact"/>
              <w:jc w:val="center"/>
              <w:textAlignment w:val="bottom"/>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rPr>
              <w:t>数量指标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教职工人数</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630</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630</w:t>
            </w:r>
          </w:p>
        </w:tc>
      </w:tr>
      <w:tr>
        <w:tblPrEx>
          <w:tblCellMar>
            <w:top w:w="0" w:type="dxa"/>
            <w:left w:w="108" w:type="dxa"/>
            <w:bottom w:w="0" w:type="dxa"/>
            <w:right w:w="108" w:type="dxa"/>
          </w:tblCellMar>
        </w:tblPrEx>
        <w:trPr>
          <w:trHeight w:val="415" w:hRule="atLeast"/>
        </w:trPr>
        <w:tc>
          <w:tcPr>
            <w:tcW w:w="2025"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hint="eastAsia" w:ascii="仿宋_GB2312" w:hAnsi="仿宋_GB2312" w:eastAsia="仿宋_GB2312" w:cs="仿宋_GB2312"/>
                <w:sz w:val="20"/>
                <w:szCs w:val="20"/>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rPr>
              <w:t>质量指标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保证就餐质量和食品安全</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良好</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良好</w:t>
            </w:r>
          </w:p>
        </w:tc>
      </w:tr>
      <w:tr>
        <w:tblPrEx>
          <w:tblCellMar>
            <w:top w:w="0" w:type="dxa"/>
            <w:left w:w="108" w:type="dxa"/>
            <w:bottom w:w="0" w:type="dxa"/>
            <w:right w:w="108" w:type="dxa"/>
          </w:tblCellMar>
        </w:tblPrEx>
        <w:trPr>
          <w:trHeight w:val="415" w:hRule="atLeast"/>
        </w:trPr>
        <w:tc>
          <w:tcPr>
            <w:tcW w:w="2025"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hint="eastAsia" w:ascii="仿宋_GB2312" w:hAnsi="仿宋_GB2312" w:eastAsia="仿宋_GB2312" w:cs="仿宋_GB2312"/>
                <w:sz w:val="20"/>
                <w:szCs w:val="20"/>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rPr>
              <w:t>时效指标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p>
        </w:tc>
      </w:tr>
      <w:tr>
        <w:tblPrEx>
          <w:tblCellMar>
            <w:top w:w="0" w:type="dxa"/>
            <w:left w:w="108" w:type="dxa"/>
            <w:bottom w:w="0" w:type="dxa"/>
            <w:right w:w="108" w:type="dxa"/>
          </w:tblCellMar>
        </w:tblPrEx>
        <w:trPr>
          <w:trHeight w:val="480" w:hRule="atLeast"/>
        </w:trPr>
        <w:tc>
          <w:tcPr>
            <w:tcW w:w="2025"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hint="eastAsia" w:ascii="仿宋_GB2312" w:hAnsi="仿宋_GB2312" w:eastAsia="仿宋_GB2312" w:cs="仿宋_GB2312"/>
                <w:sz w:val="20"/>
                <w:szCs w:val="20"/>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rPr>
              <w:t>成本指标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节约率</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≥20%</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≥20%</w:t>
            </w:r>
          </w:p>
        </w:tc>
      </w:tr>
      <w:tr>
        <w:tblPrEx>
          <w:tblCellMar>
            <w:top w:w="0" w:type="dxa"/>
            <w:left w:w="108" w:type="dxa"/>
            <w:bottom w:w="0" w:type="dxa"/>
            <w:right w:w="108" w:type="dxa"/>
          </w:tblCellMar>
        </w:tblPrEx>
        <w:trPr>
          <w:trHeight w:val="480" w:hRule="atLeast"/>
        </w:trPr>
        <w:tc>
          <w:tcPr>
            <w:tcW w:w="2025"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0"/>
                <w:szCs w:val="20"/>
              </w:rPr>
            </w:pP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效益</w:t>
            </w:r>
          </w:p>
          <w:p>
            <w:pPr>
              <w:widowControl/>
              <w:spacing w:line="320" w:lineRule="exact"/>
              <w:jc w:val="center"/>
              <w:textAlignment w:val="bottom"/>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rPr>
              <w:t>经济效益  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p>
        </w:tc>
      </w:tr>
      <w:tr>
        <w:tblPrEx>
          <w:tblCellMar>
            <w:top w:w="0" w:type="dxa"/>
            <w:left w:w="108" w:type="dxa"/>
            <w:bottom w:w="0" w:type="dxa"/>
            <w:right w:w="108" w:type="dxa"/>
          </w:tblCellMar>
        </w:tblPrEx>
        <w:trPr>
          <w:trHeight w:val="480" w:hRule="atLeast"/>
        </w:trPr>
        <w:tc>
          <w:tcPr>
            <w:tcW w:w="2025"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hint="eastAsia" w:ascii="仿宋_GB2312" w:hAnsi="仿宋_GB2312" w:eastAsia="仿宋_GB2312" w:cs="仿宋_GB2312"/>
                <w:sz w:val="20"/>
                <w:szCs w:val="20"/>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rPr>
              <w:t>社会效益  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支持四川省扶贫农副产品采购</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良好</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良好</w:t>
            </w:r>
          </w:p>
        </w:tc>
      </w:tr>
      <w:tr>
        <w:tblPrEx>
          <w:tblCellMar>
            <w:top w:w="0" w:type="dxa"/>
            <w:left w:w="108" w:type="dxa"/>
            <w:bottom w:w="0" w:type="dxa"/>
            <w:right w:w="108" w:type="dxa"/>
          </w:tblCellMar>
        </w:tblPrEx>
        <w:trPr>
          <w:trHeight w:val="577" w:hRule="atLeast"/>
        </w:trPr>
        <w:tc>
          <w:tcPr>
            <w:tcW w:w="2025"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hint="eastAsia" w:ascii="仿宋_GB2312" w:hAnsi="仿宋_GB2312" w:eastAsia="仿宋_GB2312" w:cs="仿宋_GB2312"/>
                <w:sz w:val="20"/>
                <w:szCs w:val="20"/>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ind w:left="383" w:leftChars="87" w:hanging="200" w:hangingChars="100"/>
              <w:jc w:val="left"/>
              <w:textAlignment w:val="bottom"/>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rPr>
              <w:t>生态效益  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p>
        </w:tc>
      </w:tr>
      <w:tr>
        <w:tblPrEx>
          <w:tblCellMar>
            <w:top w:w="0" w:type="dxa"/>
            <w:left w:w="108" w:type="dxa"/>
            <w:bottom w:w="0" w:type="dxa"/>
            <w:right w:w="108" w:type="dxa"/>
          </w:tblCellMar>
        </w:tblPrEx>
        <w:trPr>
          <w:trHeight w:val="480" w:hRule="atLeast"/>
        </w:trPr>
        <w:tc>
          <w:tcPr>
            <w:tcW w:w="2025"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hint="eastAsia" w:ascii="仿宋_GB2312" w:hAnsi="仿宋_GB2312" w:eastAsia="仿宋_GB2312" w:cs="仿宋_GB2312"/>
                <w:sz w:val="20"/>
                <w:szCs w:val="20"/>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rPr>
              <w:t>可持续影响 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p>
        </w:tc>
      </w:tr>
      <w:tr>
        <w:tblPrEx>
          <w:tblCellMar>
            <w:top w:w="0" w:type="dxa"/>
            <w:left w:w="108" w:type="dxa"/>
            <w:bottom w:w="0" w:type="dxa"/>
            <w:right w:w="108" w:type="dxa"/>
          </w:tblCellMar>
        </w:tblPrEx>
        <w:trPr>
          <w:trHeight w:val="530" w:hRule="atLeast"/>
        </w:trPr>
        <w:tc>
          <w:tcPr>
            <w:tcW w:w="2025"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0"/>
                <w:szCs w:val="20"/>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满意</w:t>
            </w:r>
          </w:p>
          <w:p>
            <w:pPr>
              <w:widowControl/>
              <w:spacing w:line="320" w:lineRule="exact"/>
              <w:jc w:val="center"/>
              <w:textAlignment w:val="bottom"/>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rPr>
              <w:t>度指标</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满意度</w:t>
            </w:r>
          </w:p>
          <w:p>
            <w:pPr>
              <w:widowControl/>
              <w:spacing w:line="320" w:lineRule="exact"/>
              <w:jc w:val="center"/>
              <w:textAlignment w:val="bottom"/>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师生满意度</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≥95</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≥95</w:t>
            </w:r>
          </w:p>
        </w:tc>
      </w:tr>
    </w:tbl>
    <w:p>
      <w:pPr>
        <w:widowControl/>
        <w:jc w:val="both"/>
        <w:textAlignment w:val="center"/>
        <w:rPr>
          <w:rFonts w:ascii="宋体" w:hAnsi="宋体" w:cs="宋体"/>
          <w:b/>
          <w:color w:val="000000"/>
          <w:sz w:val="32"/>
          <w:szCs w:val="32"/>
        </w:rPr>
      </w:pPr>
    </w:p>
    <w:tbl>
      <w:tblPr>
        <w:tblStyle w:val="13"/>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845"/>
        <w:gridCol w:w="2190"/>
        <w:gridCol w:w="1835"/>
        <w:gridCol w:w="1218"/>
        <w:gridCol w:w="1254"/>
        <w:gridCol w:w="2469"/>
      </w:tblGrid>
      <w:tr>
        <w:tblPrEx>
          <w:tblCellMar>
            <w:top w:w="0" w:type="dxa"/>
            <w:left w:w="108" w:type="dxa"/>
            <w:bottom w:w="0" w:type="dxa"/>
            <w:right w:w="108" w:type="dxa"/>
          </w:tblCellMar>
        </w:tblPrEx>
        <w:trPr>
          <w:trHeight w:val="675" w:hRule="atLeast"/>
        </w:trPr>
        <w:tc>
          <w:tcPr>
            <w:tcW w:w="9811" w:type="dxa"/>
            <w:gridSpan w:val="6"/>
            <w:tcBorders>
              <w:top w:val="nil"/>
              <w:left w:val="nil"/>
              <w:bottom w:val="nil"/>
              <w:right w:val="nil"/>
            </w:tcBorders>
            <w:shd w:val="clear" w:color="auto" w:fill="auto"/>
            <w:vAlign w:val="center"/>
          </w:tcPr>
          <w:p>
            <w:pPr>
              <w:widowControl/>
              <w:jc w:val="center"/>
              <w:textAlignment w:val="center"/>
              <w:rPr>
                <w:rFonts w:ascii="宋体" w:hAnsi="宋体" w:cs="宋体"/>
                <w:b/>
                <w:color w:val="000000"/>
                <w:sz w:val="32"/>
                <w:szCs w:val="32"/>
              </w:rPr>
            </w:pPr>
            <w:r>
              <w:rPr>
                <w:rFonts w:hint="eastAsia" w:ascii="宋体" w:hAnsi="宋体" w:cs="宋体"/>
                <w:b/>
                <w:color w:val="000000"/>
                <w:sz w:val="32"/>
                <w:szCs w:val="32"/>
              </w:rPr>
              <w:t>2021年100万元以上（含）特定目标类部门预算项目绩效目标自评</w:t>
            </w:r>
          </w:p>
          <w:p>
            <w:pPr>
              <w:widowControl/>
              <w:jc w:val="center"/>
              <w:textAlignment w:val="center"/>
              <w:rPr>
                <w:rFonts w:ascii="宋体" w:hAnsi="宋体" w:cs="宋体"/>
                <w:b/>
                <w:sz w:val="32"/>
                <w:szCs w:val="32"/>
              </w:rPr>
            </w:pPr>
            <w:r>
              <w:rPr>
                <w:rFonts w:hint="eastAsia" w:ascii="宋体" w:hAnsi="宋体" w:cs="宋体"/>
                <w:b/>
                <w:sz w:val="32"/>
                <w:szCs w:val="32"/>
              </w:rPr>
              <w:t>（教育教学成本（招生就业经费）项目）</w:t>
            </w:r>
          </w:p>
        </w:tc>
      </w:tr>
      <w:tr>
        <w:tblPrEx>
          <w:tblCellMar>
            <w:top w:w="0" w:type="dxa"/>
            <w:left w:w="108" w:type="dxa"/>
            <w:bottom w:w="0" w:type="dxa"/>
            <w:right w:w="108" w:type="dxa"/>
          </w:tblCellMar>
        </w:tblPrEx>
        <w:trPr>
          <w:trHeight w:val="254" w:hRule="atLeast"/>
        </w:trPr>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主管部门及代码</w:t>
            </w:r>
          </w:p>
        </w:tc>
        <w:tc>
          <w:tcPr>
            <w:tcW w:w="30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四川省商务厅322</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实施单位</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四川商务职业学院</w:t>
            </w:r>
          </w:p>
        </w:tc>
      </w:tr>
      <w:tr>
        <w:tblPrEx>
          <w:tblCellMar>
            <w:top w:w="0" w:type="dxa"/>
            <w:left w:w="108" w:type="dxa"/>
            <w:bottom w:w="0" w:type="dxa"/>
            <w:right w:w="108" w:type="dxa"/>
          </w:tblCellMar>
        </w:tblPrEx>
        <w:trPr>
          <w:trHeight w:val="341" w:hRule="atLeast"/>
        </w:trPr>
        <w:tc>
          <w:tcPr>
            <w:tcW w:w="30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项目预算</w:t>
            </w:r>
          </w:p>
          <w:p>
            <w:pPr>
              <w:widowControl/>
              <w:spacing w:line="320" w:lineRule="exact"/>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执行情况</w:t>
            </w:r>
          </w:p>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（万元）</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 xml:space="preserve"> 预算数：</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120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 xml:space="preserve"> 执行数：</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66.29</w:t>
            </w:r>
          </w:p>
        </w:tc>
      </w:tr>
      <w:tr>
        <w:tblPrEx>
          <w:tblCellMar>
            <w:top w:w="0" w:type="dxa"/>
            <w:left w:w="108" w:type="dxa"/>
            <w:bottom w:w="0" w:type="dxa"/>
            <w:right w:w="108" w:type="dxa"/>
          </w:tblCellMar>
        </w:tblPrEx>
        <w:trPr>
          <w:trHeight w:val="555" w:hRule="atLeast"/>
        </w:trPr>
        <w:tc>
          <w:tcPr>
            <w:tcW w:w="30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其中：</w:t>
            </w:r>
          </w:p>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财政拨款</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60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其中：</w:t>
            </w:r>
          </w:p>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财政拨款</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49.14</w:t>
            </w:r>
          </w:p>
        </w:tc>
      </w:tr>
      <w:tr>
        <w:tblPrEx>
          <w:tblCellMar>
            <w:top w:w="0" w:type="dxa"/>
            <w:left w:w="108" w:type="dxa"/>
            <w:bottom w:w="0" w:type="dxa"/>
            <w:right w:w="108" w:type="dxa"/>
          </w:tblCellMar>
        </w:tblPrEx>
        <w:trPr>
          <w:trHeight w:val="341" w:hRule="atLeast"/>
        </w:trPr>
        <w:tc>
          <w:tcPr>
            <w:tcW w:w="30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其他资金</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60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其他资金</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17.15</w:t>
            </w:r>
          </w:p>
        </w:tc>
      </w:tr>
      <w:tr>
        <w:tblPrEx>
          <w:tblCellMar>
            <w:top w:w="0" w:type="dxa"/>
            <w:left w:w="108" w:type="dxa"/>
            <w:bottom w:w="0" w:type="dxa"/>
            <w:right w:w="108" w:type="dxa"/>
          </w:tblCellMar>
        </w:tblPrEx>
        <w:trPr>
          <w:trHeight w:val="217" w:hRule="atLeast"/>
        </w:trPr>
        <w:tc>
          <w:tcPr>
            <w:tcW w:w="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年度总体目标</w:t>
            </w:r>
          </w:p>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完成情况</w:t>
            </w:r>
          </w:p>
        </w:tc>
        <w:tc>
          <w:tcPr>
            <w:tcW w:w="5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预期目标</w:t>
            </w:r>
          </w:p>
        </w:tc>
        <w:tc>
          <w:tcPr>
            <w:tcW w:w="37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目标实际完成情况</w:t>
            </w:r>
          </w:p>
        </w:tc>
      </w:tr>
      <w:tr>
        <w:tblPrEx>
          <w:tblCellMar>
            <w:top w:w="0" w:type="dxa"/>
            <w:left w:w="108" w:type="dxa"/>
            <w:bottom w:w="0" w:type="dxa"/>
            <w:right w:w="108" w:type="dxa"/>
          </w:tblCellMar>
        </w:tblPrEx>
        <w:trPr>
          <w:trHeight w:val="797" w:hRule="atLeast"/>
        </w:trPr>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5243"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仿宋_GB2312" w:hAnsi="仿宋_GB2312" w:eastAsia="仿宋_GB2312" w:cs="仿宋_GB2312"/>
                <w:sz w:val="20"/>
                <w:szCs w:val="20"/>
              </w:rPr>
            </w:pPr>
            <w:r>
              <w:rPr>
                <w:rFonts w:hint="eastAsia" w:ascii="仿宋_GB2312" w:hAnsi="仿宋_GB2312" w:eastAsia="仿宋_GB2312" w:cs="仿宋_GB2312"/>
                <w:sz w:val="20"/>
                <w:szCs w:val="20"/>
              </w:rPr>
              <w:t>积极响应国家高校扩招战略，让农民工、复原退伍军人、下岗工人等有更多接受高等教育，提高全国高等学校毛入学率，为四川省高等职业教育入学率提升做贡献。挖掘办学潜力，努力实现2020年单招、统招、“9+3”、“四扶”招生到校大学生3600人以上，比2020年增加100人。特别是面向四川贫困地区精准扶贫生源得到更多的入学机会。努力提高毕业生就业质量和就业率，为缓解国家就业压力服务，力争2021年毕业生就业率达95%以上，就业质量指标有所提高。</w:t>
            </w:r>
          </w:p>
        </w:tc>
        <w:tc>
          <w:tcPr>
            <w:tcW w:w="3723"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仿宋_GB2312" w:hAnsi="仿宋_GB2312" w:eastAsia="仿宋_GB2312" w:cs="仿宋_GB2312"/>
                <w:sz w:val="20"/>
                <w:szCs w:val="20"/>
              </w:rPr>
            </w:pPr>
            <w:r>
              <w:rPr>
                <w:rFonts w:hint="eastAsia" w:ascii="仿宋_GB2312" w:hAnsi="仿宋_GB2312" w:eastAsia="仿宋_GB2312" w:cs="仿宋_GB2312"/>
                <w:sz w:val="20"/>
                <w:szCs w:val="20"/>
              </w:rPr>
              <w:t>2021年单招录取1993人，统招录取1569人，9+3录取40人，高职扩招录取122人。总体报到率92.4%。在2020年基础上稳步增加。2021届毕业生就业质量和就业率均稳步提高，2021年毕业生3354人，就业率达95.71%，位于全省高校前列。</w:t>
            </w:r>
          </w:p>
        </w:tc>
      </w:tr>
      <w:tr>
        <w:tblPrEx>
          <w:tblCellMar>
            <w:top w:w="0" w:type="dxa"/>
            <w:left w:w="108" w:type="dxa"/>
            <w:bottom w:w="0" w:type="dxa"/>
            <w:right w:w="108" w:type="dxa"/>
          </w:tblCellMar>
        </w:tblPrEx>
        <w:trPr>
          <w:trHeight w:val="693" w:hRule="atLeast"/>
        </w:trPr>
        <w:tc>
          <w:tcPr>
            <w:tcW w:w="845"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年度绩效指标完成情况</w:t>
            </w:r>
          </w:p>
        </w:tc>
        <w:tc>
          <w:tcPr>
            <w:tcW w:w="2190"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一级</w:t>
            </w:r>
          </w:p>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二级</w:t>
            </w:r>
          </w:p>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三级</w:t>
            </w:r>
          </w:p>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预期指标值</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实际完成指标值</w:t>
            </w:r>
          </w:p>
        </w:tc>
      </w:tr>
      <w:tr>
        <w:tblPrEx>
          <w:tblCellMar>
            <w:top w:w="0" w:type="dxa"/>
            <w:left w:w="108" w:type="dxa"/>
            <w:bottom w:w="0" w:type="dxa"/>
            <w:right w:w="108" w:type="dxa"/>
          </w:tblCellMar>
        </w:tblPrEx>
        <w:trPr>
          <w:trHeight w:val="415" w:hRule="atLeast"/>
        </w:trPr>
        <w:tc>
          <w:tcPr>
            <w:tcW w:w="84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2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完成</w:t>
            </w:r>
          </w:p>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835"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数量指标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招生规模</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3600人</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3724</w:t>
            </w:r>
          </w:p>
        </w:tc>
      </w:tr>
      <w:tr>
        <w:tblPrEx>
          <w:tblCellMar>
            <w:top w:w="0" w:type="dxa"/>
            <w:left w:w="108" w:type="dxa"/>
            <w:bottom w:w="0" w:type="dxa"/>
            <w:right w:w="108" w:type="dxa"/>
          </w:tblCellMar>
        </w:tblPrEx>
        <w:trPr>
          <w:trHeight w:val="415" w:hRule="atLeast"/>
        </w:trPr>
        <w:tc>
          <w:tcPr>
            <w:tcW w:w="84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2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0"/>
                <w:szCs w:val="20"/>
              </w:rPr>
            </w:pPr>
          </w:p>
        </w:tc>
        <w:tc>
          <w:tcPr>
            <w:tcW w:w="1835" w:type="dxa"/>
            <w:vMerge w:val="continue"/>
            <w:tcBorders>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0"/>
                <w:szCs w:val="20"/>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委托合法机构</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多个</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7</w:t>
            </w:r>
          </w:p>
        </w:tc>
      </w:tr>
      <w:tr>
        <w:tblPrEx>
          <w:tblCellMar>
            <w:top w:w="0" w:type="dxa"/>
            <w:left w:w="108" w:type="dxa"/>
            <w:bottom w:w="0" w:type="dxa"/>
            <w:right w:w="108" w:type="dxa"/>
          </w:tblCellMar>
        </w:tblPrEx>
        <w:trPr>
          <w:trHeight w:val="415" w:hRule="atLeast"/>
        </w:trPr>
        <w:tc>
          <w:tcPr>
            <w:tcW w:w="84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219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0"/>
                <w:szCs w:val="20"/>
              </w:rPr>
            </w:pP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质量指标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就业单位质量</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良好</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良好</w:t>
            </w:r>
          </w:p>
        </w:tc>
      </w:tr>
      <w:tr>
        <w:tblPrEx>
          <w:tblCellMar>
            <w:top w:w="0" w:type="dxa"/>
            <w:left w:w="108" w:type="dxa"/>
            <w:bottom w:w="0" w:type="dxa"/>
            <w:right w:w="108" w:type="dxa"/>
          </w:tblCellMar>
        </w:tblPrEx>
        <w:trPr>
          <w:trHeight w:val="415" w:hRule="atLeast"/>
        </w:trPr>
        <w:tc>
          <w:tcPr>
            <w:tcW w:w="84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219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0"/>
                <w:szCs w:val="20"/>
              </w:rPr>
            </w:pP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时效指标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完成时间</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2021年12月31日</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2021年12月31日</w:t>
            </w:r>
          </w:p>
        </w:tc>
      </w:tr>
      <w:tr>
        <w:tblPrEx>
          <w:tblCellMar>
            <w:top w:w="0" w:type="dxa"/>
            <w:left w:w="108" w:type="dxa"/>
            <w:bottom w:w="0" w:type="dxa"/>
            <w:right w:w="108" w:type="dxa"/>
          </w:tblCellMar>
        </w:tblPrEx>
        <w:trPr>
          <w:trHeight w:val="480" w:hRule="atLeast"/>
        </w:trPr>
        <w:tc>
          <w:tcPr>
            <w:tcW w:w="84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219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0"/>
                <w:szCs w:val="20"/>
              </w:rPr>
            </w:pP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成本指标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r>
      <w:tr>
        <w:tblPrEx>
          <w:tblCellMar>
            <w:top w:w="0" w:type="dxa"/>
            <w:left w:w="108" w:type="dxa"/>
            <w:bottom w:w="0" w:type="dxa"/>
            <w:right w:w="108" w:type="dxa"/>
          </w:tblCellMar>
        </w:tblPrEx>
        <w:trPr>
          <w:trHeight w:val="480" w:hRule="atLeast"/>
        </w:trPr>
        <w:tc>
          <w:tcPr>
            <w:tcW w:w="84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2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效益</w:t>
            </w:r>
          </w:p>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经济效益  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r>
      <w:tr>
        <w:tblPrEx>
          <w:tblCellMar>
            <w:top w:w="0" w:type="dxa"/>
            <w:left w:w="108" w:type="dxa"/>
            <w:bottom w:w="0" w:type="dxa"/>
            <w:right w:w="108" w:type="dxa"/>
          </w:tblCellMar>
        </w:tblPrEx>
        <w:trPr>
          <w:trHeight w:val="480" w:hRule="atLeast"/>
        </w:trPr>
        <w:tc>
          <w:tcPr>
            <w:tcW w:w="84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219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0"/>
                <w:szCs w:val="20"/>
              </w:rPr>
            </w:pP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社会效益  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扩大学校影响力与知名度</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良好</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良好</w:t>
            </w:r>
          </w:p>
        </w:tc>
      </w:tr>
      <w:tr>
        <w:tblPrEx>
          <w:tblCellMar>
            <w:top w:w="0" w:type="dxa"/>
            <w:left w:w="108" w:type="dxa"/>
            <w:bottom w:w="0" w:type="dxa"/>
            <w:right w:w="108" w:type="dxa"/>
          </w:tblCellMar>
        </w:tblPrEx>
        <w:trPr>
          <w:trHeight w:val="575" w:hRule="atLeast"/>
        </w:trPr>
        <w:tc>
          <w:tcPr>
            <w:tcW w:w="84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219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0"/>
                <w:szCs w:val="20"/>
              </w:rPr>
            </w:pP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ind w:left="383" w:leftChars="87" w:hanging="200" w:hangingChars="100"/>
              <w:jc w:val="left"/>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生态效益  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r>
      <w:tr>
        <w:tblPrEx>
          <w:tblCellMar>
            <w:top w:w="0" w:type="dxa"/>
            <w:left w:w="108" w:type="dxa"/>
            <w:bottom w:w="0" w:type="dxa"/>
            <w:right w:w="108" w:type="dxa"/>
          </w:tblCellMar>
        </w:tblPrEx>
        <w:trPr>
          <w:trHeight w:val="340" w:hRule="atLeast"/>
        </w:trPr>
        <w:tc>
          <w:tcPr>
            <w:tcW w:w="84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219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0"/>
                <w:szCs w:val="20"/>
              </w:rPr>
            </w:pP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可持续影响 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r>
      <w:tr>
        <w:tblPrEx>
          <w:tblCellMar>
            <w:top w:w="0" w:type="dxa"/>
            <w:left w:w="108" w:type="dxa"/>
            <w:bottom w:w="0" w:type="dxa"/>
            <w:right w:w="108" w:type="dxa"/>
          </w:tblCellMar>
        </w:tblPrEx>
        <w:trPr>
          <w:trHeight w:val="530" w:hRule="atLeast"/>
        </w:trPr>
        <w:tc>
          <w:tcPr>
            <w:tcW w:w="845"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满意</w:t>
            </w:r>
          </w:p>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度指标</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满意度</w:t>
            </w:r>
          </w:p>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教职工满意度</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≥80%</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≥90%</w:t>
            </w:r>
          </w:p>
        </w:tc>
      </w:tr>
    </w:tbl>
    <w:p>
      <w:pPr>
        <w:spacing w:line="600" w:lineRule="exact"/>
        <w:jc w:val="both"/>
        <w:rPr>
          <w:rFonts w:ascii="仿宋_GB2312" w:hAnsi="仿宋_GB2312" w:eastAsia="仿宋_GB2312" w:cs="仿宋_GB2312"/>
          <w:sz w:val="20"/>
          <w:szCs w:val="20"/>
        </w:rPr>
      </w:pPr>
    </w:p>
    <w:tbl>
      <w:tblPr>
        <w:tblStyle w:val="13"/>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2025"/>
        <w:gridCol w:w="1170"/>
        <w:gridCol w:w="1675"/>
        <w:gridCol w:w="1218"/>
        <w:gridCol w:w="1254"/>
        <w:gridCol w:w="2469"/>
      </w:tblGrid>
      <w:tr>
        <w:tblPrEx>
          <w:tblCellMar>
            <w:top w:w="0" w:type="dxa"/>
            <w:left w:w="108" w:type="dxa"/>
            <w:bottom w:w="0" w:type="dxa"/>
            <w:right w:w="108" w:type="dxa"/>
          </w:tblCellMar>
        </w:tblPrEx>
        <w:trPr>
          <w:trHeight w:val="675" w:hRule="atLeast"/>
        </w:trPr>
        <w:tc>
          <w:tcPr>
            <w:tcW w:w="9811" w:type="dxa"/>
            <w:gridSpan w:val="6"/>
            <w:tcBorders>
              <w:top w:val="nil"/>
              <w:left w:val="nil"/>
              <w:bottom w:val="nil"/>
              <w:right w:val="nil"/>
            </w:tcBorders>
            <w:shd w:val="clear" w:color="auto" w:fill="auto"/>
            <w:vAlign w:val="center"/>
          </w:tcPr>
          <w:p>
            <w:pPr>
              <w:widowControl/>
              <w:jc w:val="center"/>
              <w:textAlignment w:val="center"/>
              <w:rPr>
                <w:rFonts w:ascii="宋体" w:hAnsi="宋体" w:cs="宋体"/>
                <w:b/>
                <w:color w:val="000000"/>
                <w:sz w:val="32"/>
                <w:szCs w:val="32"/>
              </w:rPr>
            </w:pPr>
            <w:r>
              <w:rPr>
                <w:rFonts w:hint="eastAsia" w:ascii="宋体" w:hAnsi="宋体" w:cs="宋体"/>
                <w:b/>
                <w:color w:val="000000"/>
                <w:sz w:val="32"/>
                <w:szCs w:val="32"/>
              </w:rPr>
              <w:t>2021年100万元以上（含）特定目标类部门预算项目绩效目标自评</w:t>
            </w:r>
          </w:p>
          <w:p>
            <w:pPr>
              <w:widowControl/>
              <w:jc w:val="center"/>
              <w:textAlignment w:val="center"/>
              <w:rPr>
                <w:rFonts w:ascii="宋体" w:hAnsi="宋体" w:cs="宋体"/>
                <w:b/>
                <w:sz w:val="32"/>
                <w:szCs w:val="32"/>
              </w:rPr>
            </w:pPr>
            <w:r>
              <w:rPr>
                <w:rFonts w:hint="eastAsia" w:ascii="宋体" w:hAnsi="宋体" w:cs="宋体"/>
                <w:b/>
                <w:sz w:val="32"/>
                <w:szCs w:val="32"/>
              </w:rPr>
              <w:t>(设备购置经费项目)</w:t>
            </w:r>
          </w:p>
        </w:tc>
      </w:tr>
      <w:tr>
        <w:tblPrEx>
          <w:tblCellMar>
            <w:top w:w="0" w:type="dxa"/>
            <w:left w:w="108" w:type="dxa"/>
            <w:bottom w:w="0" w:type="dxa"/>
            <w:right w:w="108" w:type="dxa"/>
          </w:tblCellMar>
        </w:tblPrEx>
        <w:trPr>
          <w:trHeight w:val="254" w:hRule="atLeast"/>
        </w:trPr>
        <w:tc>
          <w:tcPr>
            <w:tcW w:w="31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主管部门及代码</w:t>
            </w:r>
          </w:p>
        </w:tc>
        <w:tc>
          <w:tcPr>
            <w:tcW w:w="2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四川省商务厅322</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实施单位</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四川商务职业学院</w:t>
            </w:r>
          </w:p>
        </w:tc>
      </w:tr>
      <w:tr>
        <w:tblPrEx>
          <w:tblCellMar>
            <w:top w:w="0" w:type="dxa"/>
            <w:left w:w="108" w:type="dxa"/>
            <w:bottom w:w="0" w:type="dxa"/>
            <w:right w:w="108" w:type="dxa"/>
          </w:tblCellMar>
        </w:tblPrEx>
        <w:trPr>
          <w:trHeight w:val="341" w:hRule="atLeast"/>
        </w:trPr>
        <w:tc>
          <w:tcPr>
            <w:tcW w:w="31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项目预算</w:t>
            </w:r>
          </w:p>
          <w:p>
            <w:pPr>
              <w:widowControl/>
              <w:spacing w:line="320" w:lineRule="exact"/>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执行情况</w:t>
            </w:r>
          </w:p>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（万元）</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 xml:space="preserve"> 预算数：</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507.72</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 xml:space="preserve"> 执行数：</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490.76</w:t>
            </w:r>
          </w:p>
        </w:tc>
      </w:tr>
      <w:tr>
        <w:tblPrEx>
          <w:tblCellMar>
            <w:top w:w="0" w:type="dxa"/>
            <w:left w:w="108" w:type="dxa"/>
            <w:bottom w:w="0" w:type="dxa"/>
            <w:right w:w="108" w:type="dxa"/>
          </w:tblCellMar>
        </w:tblPrEx>
        <w:trPr>
          <w:trHeight w:val="555" w:hRule="atLeast"/>
        </w:trPr>
        <w:tc>
          <w:tcPr>
            <w:tcW w:w="31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其中：</w:t>
            </w:r>
          </w:p>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财政拨款</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446.02</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其中：</w:t>
            </w:r>
          </w:p>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财政拨款</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452.82</w:t>
            </w:r>
          </w:p>
        </w:tc>
      </w:tr>
      <w:tr>
        <w:tblPrEx>
          <w:tblCellMar>
            <w:top w:w="0" w:type="dxa"/>
            <w:left w:w="108" w:type="dxa"/>
            <w:bottom w:w="0" w:type="dxa"/>
            <w:right w:w="108" w:type="dxa"/>
          </w:tblCellMar>
        </w:tblPrEx>
        <w:trPr>
          <w:trHeight w:val="341" w:hRule="atLeast"/>
        </w:trPr>
        <w:tc>
          <w:tcPr>
            <w:tcW w:w="31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其他资金</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61.7</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其他资金</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37.94</w:t>
            </w:r>
          </w:p>
        </w:tc>
      </w:tr>
      <w:tr>
        <w:tblPrEx>
          <w:tblCellMar>
            <w:top w:w="0" w:type="dxa"/>
            <w:left w:w="108" w:type="dxa"/>
            <w:bottom w:w="0" w:type="dxa"/>
            <w:right w:w="108" w:type="dxa"/>
          </w:tblCellMar>
        </w:tblPrEx>
        <w:trPr>
          <w:trHeight w:val="217" w:hRule="atLeast"/>
        </w:trPr>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年度总体目标</w:t>
            </w:r>
          </w:p>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完成情况</w:t>
            </w:r>
          </w:p>
        </w:tc>
        <w:tc>
          <w:tcPr>
            <w:tcW w:w="40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预期目标</w:t>
            </w:r>
          </w:p>
        </w:tc>
        <w:tc>
          <w:tcPr>
            <w:tcW w:w="37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目标实际完成情况</w:t>
            </w:r>
          </w:p>
        </w:tc>
      </w:tr>
      <w:tr>
        <w:tblPrEx>
          <w:tblCellMar>
            <w:top w:w="0" w:type="dxa"/>
            <w:left w:w="108" w:type="dxa"/>
            <w:bottom w:w="0" w:type="dxa"/>
            <w:right w:w="108" w:type="dxa"/>
          </w:tblCellMar>
        </w:tblPrEx>
        <w:trPr>
          <w:trHeight w:val="797" w:hRule="atLeast"/>
        </w:trPr>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4063"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仿宋_GB2312" w:hAnsi="仿宋_GB2312" w:eastAsia="仿宋_GB2312" w:cs="仿宋_GB2312"/>
                <w:sz w:val="20"/>
                <w:szCs w:val="20"/>
              </w:rPr>
            </w:pPr>
            <w:r>
              <w:rPr>
                <w:rFonts w:hint="eastAsia" w:ascii="仿宋_GB2312" w:hAnsi="仿宋_GB2312" w:eastAsia="仿宋_GB2312" w:cs="仿宋_GB2312"/>
                <w:sz w:val="20"/>
                <w:szCs w:val="20"/>
              </w:rPr>
              <w:t>为了教育教学工作需要，促进教学软硬件设施的升级，需购置教学设备，更好的为教学工作服务。</w:t>
            </w:r>
          </w:p>
          <w:p>
            <w:pPr>
              <w:pStyle w:val="2"/>
              <w:spacing w:before="93"/>
              <w:rPr>
                <w:rFonts w:hAnsi="仿宋_GB2312" w:cs="仿宋_GB2312"/>
                <w:sz w:val="20"/>
                <w:szCs w:val="20"/>
              </w:rPr>
            </w:pPr>
          </w:p>
          <w:p>
            <w:pPr>
              <w:pStyle w:val="2"/>
              <w:spacing w:before="93"/>
              <w:rPr>
                <w:rFonts w:hAnsi="仿宋_GB2312" w:cs="仿宋_GB2312"/>
                <w:sz w:val="20"/>
                <w:szCs w:val="20"/>
              </w:rPr>
            </w:pPr>
          </w:p>
        </w:tc>
        <w:tc>
          <w:tcPr>
            <w:tcW w:w="3723"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仿宋_GB2312" w:hAnsi="仿宋_GB2312" w:eastAsia="仿宋_GB2312" w:cs="仿宋_GB2312"/>
                <w:sz w:val="20"/>
                <w:szCs w:val="20"/>
              </w:rPr>
            </w:pPr>
            <w:r>
              <w:rPr>
                <w:rFonts w:hint="eastAsia" w:ascii="仿宋_GB2312" w:hAnsi="仿宋_GB2312" w:eastAsia="仿宋_GB2312" w:cs="仿宋_GB2312"/>
                <w:sz w:val="20"/>
                <w:szCs w:val="20"/>
              </w:rPr>
              <w:t>促进教学软硬件设施的升级，需购置教学设备，更好的为教学工作服务。</w:t>
            </w:r>
          </w:p>
        </w:tc>
      </w:tr>
      <w:tr>
        <w:tblPrEx>
          <w:tblCellMar>
            <w:top w:w="0" w:type="dxa"/>
            <w:left w:w="108" w:type="dxa"/>
            <w:bottom w:w="0" w:type="dxa"/>
            <w:right w:w="108" w:type="dxa"/>
          </w:tblCellMar>
        </w:tblPrEx>
        <w:trPr>
          <w:trHeight w:val="693" w:hRule="atLeast"/>
        </w:trPr>
        <w:tc>
          <w:tcPr>
            <w:tcW w:w="2025"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年度绩效指标完成情况</w:t>
            </w:r>
          </w:p>
        </w:tc>
        <w:tc>
          <w:tcPr>
            <w:tcW w:w="1170"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一级</w:t>
            </w:r>
          </w:p>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二级</w:t>
            </w:r>
          </w:p>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三级</w:t>
            </w:r>
          </w:p>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预期指标值</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实际完成指标值</w:t>
            </w:r>
          </w:p>
        </w:tc>
      </w:tr>
      <w:tr>
        <w:tblPrEx>
          <w:tblCellMar>
            <w:top w:w="0" w:type="dxa"/>
            <w:left w:w="108" w:type="dxa"/>
            <w:bottom w:w="0" w:type="dxa"/>
            <w:right w:w="108" w:type="dxa"/>
          </w:tblCellMar>
        </w:tblPrEx>
        <w:trPr>
          <w:trHeight w:val="415" w:hRule="atLeast"/>
        </w:trPr>
        <w:tc>
          <w:tcPr>
            <w:tcW w:w="202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完成</w:t>
            </w:r>
          </w:p>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675" w:type="dxa"/>
            <w:vMerge w:val="restart"/>
            <w:tcBorders>
              <w:top w:val="single" w:color="000000" w:sz="4" w:space="0"/>
              <w:left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数量指标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完成时间</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2021.10</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2021.12</w:t>
            </w:r>
          </w:p>
        </w:tc>
      </w:tr>
      <w:tr>
        <w:tblPrEx>
          <w:tblCellMar>
            <w:top w:w="0" w:type="dxa"/>
            <w:left w:w="108" w:type="dxa"/>
            <w:bottom w:w="0" w:type="dxa"/>
            <w:right w:w="108" w:type="dxa"/>
          </w:tblCellMar>
        </w:tblPrEx>
        <w:trPr>
          <w:trHeight w:val="415" w:hRule="atLeast"/>
        </w:trPr>
        <w:tc>
          <w:tcPr>
            <w:tcW w:w="202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0"/>
                <w:szCs w:val="20"/>
              </w:rPr>
            </w:pPr>
          </w:p>
        </w:tc>
        <w:tc>
          <w:tcPr>
            <w:tcW w:w="1675" w:type="dxa"/>
            <w:vMerge w:val="continue"/>
            <w:tcBorders>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0"/>
                <w:szCs w:val="20"/>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完成数量</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按采购需求全部完成</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完成96%</w:t>
            </w:r>
          </w:p>
        </w:tc>
      </w:tr>
      <w:tr>
        <w:tblPrEx>
          <w:tblCellMar>
            <w:top w:w="0" w:type="dxa"/>
            <w:left w:w="108" w:type="dxa"/>
            <w:bottom w:w="0" w:type="dxa"/>
            <w:right w:w="108" w:type="dxa"/>
          </w:tblCellMar>
        </w:tblPrEx>
        <w:trPr>
          <w:trHeight w:val="415" w:hRule="atLeast"/>
        </w:trPr>
        <w:tc>
          <w:tcPr>
            <w:tcW w:w="202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0"/>
                <w:szCs w:val="20"/>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质量指标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设备质量</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良好</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良好</w:t>
            </w:r>
          </w:p>
        </w:tc>
      </w:tr>
      <w:tr>
        <w:tblPrEx>
          <w:tblCellMar>
            <w:top w:w="0" w:type="dxa"/>
            <w:left w:w="108" w:type="dxa"/>
            <w:bottom w:w="0" w:type="dxa"/>
            <w:right w:w="108" w:type="dxa"/>
          </w:tblCellMar>
        </w:tblPrEx>
        <w:trPr>
          <w:trHeight w:val="415" w:hRule="atLeast"/>
        </w:trPr>
        <w:tc>
          <w:tcPr>
            <w:tcW w:w="202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0"/>
                <w:szCs w:val="20"/>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时效指标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r>
      <w:tr>
        <w:tblPrEx>
          <w:tblCellMar>
            <w:top w:w="0" w:type="dxa"/>
            <w:left w:w="108" w:type="dxa"/>
            <w:bottom w:w="0" w:type="dxa"/>
            <w:right w:w="108" w:type="dxa"/>
          </w:tblCellMar>
        </w:tblPrEx>
        <w:trPr>
          <w:trHeight w:val="480" w:hRule="atLeast"/>
        </w:trPr>
        <w:tc>
          <w:tcPr>
            <w:tcW w:w="202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0"/>
                <w:szCs w:val="20"/>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成本指标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r>
      <w:tr>
        <w:tblPrEx>
          <w:tblCellMar>
            <w:top w:w="0" w:type="dxa"/>
            <w:left w:w="108" w:type="dxa"/>
            <w:bottom w:w="0" w:type="dxa"/>
            <w:right w:w="108" w:type="dxa"/>
          </w:tblCellMar>
        </w:tblPrEx>
        <w:trPr>
          <w:trHeight w:val="480" w:hRule="atLeast"/>
        </w:trPr>
        <w:tc>
          <w:tcPr>
            <w:tcW w:w="202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效益</w:t>
            </w:r>
          </w:p>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经济效益  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r>
      <w:tr>
        <w:tblPrEx>
          <w:tblCellMar>
            <w:top w:w="0" w:type="dxa"/>
            <w:left w:w="108" w:type="dxa"/>
            <w:bottom w:w="0" w:type="dxa"/>
            <w:right w:w="108" w:type="dxa"/>
          </w:tblCellMar>
        </w:tblPrEx>
        <w:trPr>
          <w:trHeight w:val="480" w:hRule="atLeast"/>
        </w:trPr>
        <w:tc>
          <w:tcPr>
            <w:tcW w:w="202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0"/>
                <w:szCs w:val="20"/>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社会效益  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r>
      <w:tr>
        <w:tblPrEx>
          <w:tblCellMar>
            <w:top w:w="0" w:type="dxa"/>
            <w:left w:w="108" w:type="dxa"/>
            <w:bottom w:w="0" w:type="dxa"/>
            <w:right w:w="108" w:type="dxa"/>
          </w:tblCellMar>
        </w:tblPrEx>
        <w:trPr>
          <w:trHeight w:val="577" w:hRule="atLeast"/>
        </w:trPr>
        <w:tc>
          <w:tcPr>
            <w:tcW w:w="202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0"/>
                <w:szCs w:val="20"/>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ind w:left="383" w:leftChars="87" w:hanging="200" w:hangingChars="100"/>
              <w:jc w:val="left"/>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生态效益  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r>
      <w:tr>
        <w:tblPrEx>
          <w:tblCellMar>
            <w:top w:w="0" w:type="dxa"/>
            <w:left w:w="108" w:type="dxa"/>
            <w:bottom w:w="0" w:type="dxa"/>
            <w:right w:w="108" w:type="dxa"/>
          </w:tblCellMar>
        </w:tblPrEx>
        <w:trPr>
          <w:trHeight w:val="480" w:hRule="atLeast"/>
        </w:trPr>
        <w:tc>
          <w:tcPr>
            <w:tcW w:w="202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0"/>
                <w:szCs w:val="20"/>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可持续影响 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使用年限</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5年</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5年</w:t>
            </w:r>
          </w:p>
        </w:tc>
      </w:tr>
      <w:tr>
        <w:tblPrEx>
          <w:tblCellMar>
            <w:top w:w="0" w:type="dxa"/>
            <w:left w:w="108" w:type="dxa"/>
            <w:bottom w:w="0" w:type="dxa"/>
            <w:right w:w="108" w:type="dxa"/>
          </w:tblCellMar>
        </w:tblPrEx>
        <w:trPr>
          <w:trHeight w:val="530" w:hRule="atLeast"/>
        </w:trPr>
        <w:tc>
          <w:tcPr>
            <w:tcW w:w="2025"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满意</w:t>
            </w:r>
          </w:p>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度指标</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满意度</w:t>
            </w:r>
          </w:p>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师生满意度</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≥90%</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≥90%</w:t>
            </w:r>
          </w:p>
        </w:tc>
      </w:tr>
    </w:tbl>
    <w:p>
      <w:pPr>
        <w:spacing w:line="600" w:lineRule="exact"/>
        <w:jc w:val="center"/>
        <w:rPr>
          <w:rFonts w:ascii="仿宋_GB2312" w:hAnsi="仿宋_GB2312" w:eastAsia="仿宋_GB2312" w:cs="仿宋_GB2312"/>
          <w:sz w:val="20"/>
          <w:szCs w:val="20"/>
        </w:rPr>
      </w:pPr>
    </w:p>
    <w:p>
      <w:pPr>
        <w:spacing w:line="600" w:lineRule="exact"/>
        <w:jc w:val="center"/>
        <w:rPr>
          <w:rFonts w:ascii="仿宋_GB2312" w:hAnsi="仿宋_GB2312" w:eastAsia="仿宋_GB2312" w:cs="仿宋_GB2312"/>
          <w:sz w:val="20"/>
          <w:szCs w:val="20"/>
        </w:rPr>
      </w:pPr>
    </w:p>
    <w:p>
      <w:pPr>
        <w:pStyle w:val="2"/>
        <w:spacing w:before="93"/>
      </w:pPr>
    </w:p>
    <w:tbl>
      <w:tblPr>
        <w:tblStyle w:val="13"/>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1144"/>
        <w:gridCol w:w="1140"/>
        <w:gridCol w:w="1995"/>
        <w:gridCol w:w="1410"/>
        <w:gridCol w:w="1365"/>
        <w:gridCol w:w="2757"/>
      </w:tblGrid>
      <w:tr>
        <w:tblPrEx>
          <w:tblCellMar>
            <w:top w:w="0" w:type="dxa"/>
            <w:left w:w="108" w:type="dxa"/>
            <w:bottom w:w="0" w:type="dxa"/>
            <w:right w:w="108" w:type="dxa"/>
          </w:tblCellMar>
        </w:tblPrEx>
        <w:trPr>
          <w:trHeight w:val="675" w:hRule="atLeast"/>
        </w:trPr>
        <w:tc>
          <w:tcPr>
            <w:tcW w:w="9811" w:type="dxa"/>
            <w:gridSpan w:val="6"/>
            <w:tcBorders>
              <w:top w:val="nil"/>
              <w:left w:val="nil"/>
              <w:bottom w:val="nil"/>
              <w:right w:val="nil"/>
            </w:tcBorders>
            <w:shd w:val="clear" w:color="auto" w:fill="auto"/>
            <w:vAlign w:val="center"/>
          </w:tcPr>
          <w:p>
            <w:pPr>
              <w:widowControl/>
              <w:jc w:val="center"/>
              <w:textAlignment w:val="center"/>
              <w:rPr>
                <w:rFonts w:ascii="宋体" w:hAnsi="宋体" w:cs="宋体"/>
                <w:b/>
                <w:color w:val="000000"/>
                <w:sz w:val="32"/>
                <w:szCs w:val="32"/>
              </w:rPr>
            </w:pPr>
            <w:r>
              <w:rPr>
                <w:rFonts w:hint="eastAsia" w:ascii="宋体" w:hAnsi="宋体" w:cs="宋体"/>
                <w:b/>
                <w:color w:val="000000"/>
                <w:sz w:val="32"/>
                <w:szCs w:val="32"/>
              </w:rPr>
              <w:t>2021年100万元以上（含）特定目标类部门预算项目绩效目标自评</w:t>
            </w:r>
          </w:p>
          <w:p>
            <w:pPr>
              <w:widowControl/>
              <w:jc w:val="center"/>
              <w:textAlignment w:val="center"/>
              <w:rPr>
                <w:rFonts w:ascii="宋体" w:hAnsi="宋体" w:cs="宋体"/>
                <w:b/>
                <w:sz w:val="32"/>
                <w:szCs w:val="32"/>
              </w:rPr>
            </w:pPr>
            <w:r>
              <w:rPr>
                <w:rFonts w:hint="eastAsia" w:ascii="宋体" w:hAnsi="宋体" w:cs="宋体"/>
                <w:b/>
                <w:sz w:val="32"/>
                <w:szCs w:val="32"/>
              </w:rPr>
              <w:t>(2021年学生资助经费项目)</w:t>
            </w:r>
          </w:p>
        </w:tc>
      </w:tr>
      <w:tr>
        <w:tblPrEx>
          <w:tblCellMar>
            <w:top w:w="0" w:type="dxa"/>
            <w:left w:w="108" w:type="dxa"/>
            <w:bottom w:w="0" w:type="dxa"/>
            <w:right w:w="108" w:type="dxa"/>
          </w:tblCellMar>
        </w:tblPrEx>
        <w:trPr>
          <w:trHeight w:val="254" w:hRule="atLeast"/>
        </w:trPr>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主管部门及代码</w:t>
            </w:r>
          </w:p>
        </w:tc>
        <w:tc>
          <w:tcPr>
            <w:tcW w:w="3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四川省商务厅322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实施单位</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四川商务职业学院</w:t>
            </w:r>
          </w:p>
        </w:tc>
      </w:tr>
      <w:tr>
        <w:tblPrEx>
          <w:tblCellMar>
            <w:top w:w="0" w:type="dxa"/>
            <w:left w:w="108" w:type="dxa"/>
            <w:bottom w:w="0" w:type="dxa"/>
            <w:right w:w="108" w:type="dxa"/>
          </w:tblCellMar>
        </w:tblPrEx>
        <w:trPr>
          <w:trHeight w:val="341" w:hRule="atLeast"/>
        </w:trPr>
        <w:tc>
          <w:tcPr>
            <w:tcW w:w="228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项目预算</w:t>
            </w:r>
          </w:p>
          <w:p>
            <w:pPr>
              <w:widowControl/>
              <w:spacing w:line="320" w:lineRule="exact"/>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执行情况</w:t>
            </w:r>
          </w:p>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（万元）</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 xml:space="preserve"> 预算数：</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1095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 xml:space="preserve"> 执行数：</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1095</w:t>
            </w:r>
          </w:p>
        </w:tc>
      </w:tr>
      <w:tr>
        <w:tblPrEx>
          <w:tblCellMar>
            <w:top w:w="0" w:type="dxa"/>
            <w:left w:w="108" w:type="dxa"/>
            <w:bottom w:w="0" w:type="dxa"/>
            <w:right w:w="108" w:type="dxa"/>
          </w:tblCellMar>
        </w:tblPrEx>
        <w:trPr>
          <w:trHeight w:val="555" w:hRule="atLeast"/>
        </w:trPr>
        <w:tc>
          <w:tcPr>
            <w:tcW w:w="22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其中：</w:t>
            </w:r>
          </w:p>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财政拨款</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1095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其中：</w:t>
            </w:r>
          </w:p>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财政拨款</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1095</w:t>
            </w:r>
          </w:p>
        </w:tc>
      </w:tr>
      <w:tr>
        <w:tblPrEx>
          <w:tblCellMar>
            <w:top w:w="0" w:type="dxa"/>
            <w:left w:w="108" w:type="dxa"/>
            <w:bottom w:w="0" w:type="dxa"/>
            <w:right w:w="108" w:type="dxa"/>
          </w:tblCellMar>
        </w:tblPrEx>
        <w:trPr>
          <w:trHeight w:val="341" w:hRule="atLeast"/>
        </w:trPr>
        <w:tc>
          <w:tcPr>
            <w:tcW w:w="22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其他资金</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其他资金</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p>
        </w:tc>
      </w:tr>
      <w:tr>
        <w:tblPrEx>
          <w:tblCellMar>
            <w:top w:w="0" w:type="dxa"/>
            <w:left w:w="108" w:type="dxa"/>
            <w:bottom w:w="0" w:type="dxa"/>
            <w:right w:w="108" w:type="dxa"/>
          </w:tblCellMar>
        </w:tblPrEx>
        <w:trPr>
          <w:trHeight w:val="217" w:hRule="atLeast"/>
        </w:trPr>
        <w:tc>
          <w:tcPr>
            <w:tcW w:w="11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年度总体目标</w:t>
            </w:r>
          </w:p>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完成情况</w:t>
            </w:r>
          </w:p>
        </w:tc>
        <w:tc>
          <w:tcPr>
            <w:tcW w:w="4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预期目标</w:t>
            </w:r>
          </w:p>
        </w:tc>
        <w:tc>
          <w:tcPr>
            <w:tcW w:w="41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目标实际完成情况</w:t>
            </w:r>
          </w:p>
        </w:tc>
      </w:tr>
      <w:tr>
        <w:tblPrEx>
          <w:tblCellMar>
            <w:top w:w="0" w:type="dxa"/>
            <w:left w:w="108" w:type="dxa"/>
            <w:bottom w:w="0" w:type="dxa"/>
            <w:right w:w="108" w:type="dxa"/>
          </w:tblCellMar>
        </w:tblPrEx>
        <w:trPr>
          <w:trHeight w:val="797" w:hRule="atLeast"/>
        </w:trPr>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4545"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仿宋_GB2312" w:hAnsi="仿宋_GB2312" w:eastAsia="仿宋_GB2312" w:cs="仿宋_GB2312"/>
                <w:sz w:val="20"/>
                <w:szCs w:val="20"/>
              </w:rPr>
            </w:pPr>
            <w:r>
              <w:rPr>
                <w:rFonts w:hint="eastAsia" w:ascii="仿宋_GB2312" w:hAnsi="仿宋_GB2312" w:eastAsia="仿宋_GB2312" w:cs="仿宋_GB2312"/>
                <w:sz w:val="20"/>
                <w:szCs w:val="20"/>
              </w:rPr>
              <w:t>解决学院大约4000多人*2500元、我贫困助学生的生活费，极大地缓解了农村贫困学生的困难，体现了党和国家对贫困大学生的关心。</w:t>
            </w:r>
          </w:p>
          <w:p>
            <w:pPr>
              <w:pStyle w:val="2"/>
              <w:spacing w:before="93"/>
              <w:rPr>
                <w:rFonts w:hAnsi="仿宋_GB2312" w:cs="仿宋_GB2312"/>
                <w:sz w:val="20"/>
                <w:szCs w:val="20"/>
              </w:rPr>
            </w:pPr>
          </w:p>
          <w:p>
            <w:pPr>
              <w:pStyle w:val="2"/>
              <w:spacing w:before="93"/>
              <w:rPr>
                <w:rFonts w:hAnsi="仿宋_GB2312" w:cs="仿宋_GB2312"/>
                <w:sz w:val="20"/>
                <w:szCs w:val="20"/>
              </w:rPr>
            </w:pPr>
          </w:p>
        </w:tc>
        <w:tc>
          <w:tcPr>
            <w:tcW w:w="4122"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仿宋_GB2312" w:hAnsi="仿宋_GB2312" w:eastAsia="仿宋_GB2312" w:cs="仿宋_GB2312"/>
                <w:sz w:val="20"/>
                <w:szCs w:val="20"/>
              </w:rPr>
            </w:pPr>
            <w:r>
              <w:rPr>
                <w:rFonts w:hint="eastAsia" w:ascii="仿宋_GB2312" w:hAnsi="仿宋_GB2312" w:eastAsia="仿宋_GB2312" w:cs="仿宋_GB2312"/>
                <w:sz w:val="20"/>
                <w:szCs w:val="20"/>
              </w:rPr>
              <w:t>2021年发放国家奖学金10人，金额8万元；国家励志奖学金325人，金额162.5万元；2021年秋季国家助学金3085人，金额509.025万元；春季助学金2795人，金额459.561万元，通过奖优助困的方式激励学生不断奋进，形成良好学风。(实际发放金额1139.1万元，人数4822人，1095万是预拨款，具体执行按教育厅当年实际下拨名额执行）</w:t>
            </w:r>
          </w:p>
        </w:tc>
      </w:tr>
      <w:tr>
        <w:tblPrEx>
          <w:tblCellMar>
            <w:top w:w="0" w:type="dxa"/>
            <w:left w:w="108" w:type="dxa"/>
            <w:bottom w:w="0" w:type="dxa"/>
            <w:right w:w="108" w:type="dxa"/>
          </w:tblCellMar>
        </w:tblPrEx>
        <w:trPr>
          <w:trHeight w:val="693" w:hRule="atLeast"/>
        </w:trPr>
        <w:tc>
          <w:tcPr>
            <w:tcW w:w="1144"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年度绩效指标完成情况</w:t>
            </w:r>
          </w:p>
        </w:tc>
        <w:tc>
          <w:tcPr>
            <w:tcW w:w="1140"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一级</w:t>
            </w:r>
          </w:p>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二级</w:t>
            </w:r>
          </w:p>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三级</w:t>
            </w:r>
          </w:p>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预期指标值</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实际完成指标值</w:t>
            </w:r>
          </w:p>
        </w:tc>
      </w:tr>
      <w:tr>
        <w:tblPrEx>
          <w:tblCellMar>
            <w:top w:w="0" w:type="dxa"/>
            <w:left w:w="108" w:type="dxa"/>
            <w:bottom w:w="0" w:type="dxa"/>
            <w:right w:w="108" w:type="dxa"/>
          </w:tblCellMar>
        </w:tblPrEx>
        <w:trPr>
          <w:trHeight w:val="415" w:hRule="atLeast"/>
        </w:trPr>
        <w:tc>
          <w:tcPr>
            <w:tcW w:w="114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完成</w:t>
            </w:r>
          </w:p>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数量指标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受惠学生人次</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left="0" w:leftChars="0"/>
              <w:jc w:val="center"/>
              <w:textAlignment w:val="bottom"/>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》4000</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6215（人数4822人）根据国家资助政策要求，助学金按学年评定，2021年春季助学金为2020年秋季评定，2021秋季助学金为当年评定，因此有学生在两学年重复获得，重复人数为1393人，实际受助人数为6215-1393=4822人</w:t>
            </w:r>
          </w:p>
        </w:tc>
      </w:tr>
      <w:tr>
        <w:tblPrEx>
          <w:tblCellMar>
            <w:top w:w="0" w:type="dxa"/>
            <w:left w:w="108" w:type="dxa"/>
            <w:bottom w:w="0" w:type="dxa"/>
            <w:right w:w="108" w:type="dxa"/>
          </w:tblCellMar>
        </w:tblPrEx>
        <w:trPr>
          <w:trHeight w:val="415" w:hRule="atLeast"/>
        </w:trPr>
        <w:tc>
          <w:tcPr>
            <w:tcW w:w="114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0"/>
                <w:szCs w:val="20"/>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质量指标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r>
      <w:tr>
        <w:tblPrEx>
          <w:tblCellMar>
            <w:top w:w="0" w:type="dxa"/>
            <w:left w:w="108" w:type="dxa"/>
            <w:bottom w:w="0" w:type="dxa"/>
            <w:right w:w="108" w:type="dxa"/>
          </w:tblCellMar>
        </w:tblPrEx>
        <w:trPr>
          <w:trHeight w:val="415" w:hRule="atLeast"/>
        </w:trPr>
        <w:tc>
          <w:tcPr>
            <w:tcW w:w="114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0"/>
                <w:szCs w:val="20"/>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时效指标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按时发放</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12月之前</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已按要求完成发放</w:t>
            </w:r>
          </w:p>
        </w:tc>
      </w:tr>
      <w:tr>
        <w:tblPrEx>
          <w:tblCellMar>
            <w:top w:w="0" w:type="dxa"/>
            <w:left w:w="108" w:type="dxa"/>
            <w:bottom w:w="0" w:type="dxa"/>
            <w:right w:w="108" w:type="dxa"/>
          </w:tblCellMar>
        </w:tblPrEx>
        <w:trPr>
          <w:trHeight w:val="480" w:hRule="atLeast"/>
        </w:trPr>
        <w:tc>
          <w:tcPr>
            <w:tcW w:w="114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0"/>
                <w:szCs w:val="20"/>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成本指标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r>
      <w:tr>
        <w:tblPrEx>
          <w:tblCellMar>
            <w:top w:w="0" w:type="dxa"/>
            <w:left w:w="108" w:type="dxa"/>
            <w:bottom w:w="0" w:type="dxa"/>
            <w:right w:w="108" w:type="dxa"/>
          </w:tblCellMar>
        </w:tblPrEx>
        <w:trPr>
          <w:trHeight w:val="480" w:hRule="atLeast"/>
        </w:trPr>
        <w:tc>
          <w:tcPr>
            <w:tcW w:w="114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效益</w:t>
            </w:r>
          </w:p>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经济效益  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r>
      <w:tr>
        <w:tblPrEx>
          <w:tblCellMar>
            <w:top w:w="0" w:type="dxa"/>
            <w:left w:w="108" w:type="dxa"/>
            <w:bottom w:w="0" w:type="dxa"/>
            <w:right w:w="108" w:type="dxa"/>
          </w:tblCellMar>
        </w:tblPrEx>
        <w:trPr>
          <w:trHeight w:val="480" w:hRule="atLeast"/>
        </w:trPr>
        <w:tc>
          <w:tcPr>
            <w:tcW w:w="114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0"/>
                <w:szCs w:val="20"/>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社会效益  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学生认可度</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良好</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良好</w:t>
            </w:r>
          </w:p>
        </w:tc>
      </w:tr>
      <w:tr>
        <w:tblPrEx>
          <w:tblCellMar>
            <w:top w:w="0" w:type="dxa"/>
            <w:left w:w="108" w:type="dxa"/>
            <w:bottom w:w="0" w:type="dxa"/>
            <w:right w:w="108" w:type="dxa"/>
          </w:tblCellMar>
        </w:tblPrEx>
        <w:trPr>
          <w:trHeight w:val="577" w:hRule="atLeast"/>
        </w:trPr>
        <w:tc>
          <w:tcPr>
            <w:tcW w:w="114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0"/>
                <w:szCs w:val="20"/>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ind w:left="383" w:leftChars="87" w:hanging="200" w:hangingChars="100"/>
              <w:jc w:val="left"/>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生态效益  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r>
      <w:tr>
        <w:tblPrEx>
          <w:tblCellMar>
            <w:top w:w="0" w:type="dxa"/>
            <w:left w:w="108" w:type="dxa"/>
            <w:bottom w:w="0" w:type="dxa"/>
            <w:right w:w="108" w:type="dxa"/>
          </w:tblCellMar>
        </w:tblPrEx>
        <w:trPr>
          <w:trHeight w:val="480" w:hRule="atLeast"/>
        </w:trPr>
        <w:tc>
          <w:tcPr>
            <w:tcW w:w="114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0"/>
                <w:szCs w:val="20"/>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可持续影响 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评审期间</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一学年</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一学年</w:t>
            </w:r>
          </w:p>
        </w:tc>
      </w:tr>
      <w:tr>
        <w:tblPrEx>
          <w:tblCellMar>
            <w:top w:w="0" w:type="dxa"/>
            <w:left w:w="108" w:type="dxa"/>
            <w:bottom w:w="0" w:type="dxa"/>
            <w:right w:w="108" w:type="dxa"/>
          </w:tblCellMar>
        </w:tblPrEx>
        <w:trPr>
          <w:trHeight w:val="530" w:hRule="atLeast"/>
        </w:trPr>
        <w:tc>
          <w:tcPr>
            <w:tcW w:w="1144"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满意</w:t>
            </w:r>
          </w:p>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度指标</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满意度</w:t>
            </w:r>
          </w:p>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师生满意度</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≥95%</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≥95%</w:t>
            </w:r>
          </w:p>
        </w:tc>
      </w:tr>
    </w:tbl>
    <w:p>
      <w:pPr>
        <w:spacing w:line="600" w:lineRule="exact"/>
        <w:jc w:val="center"/>
        <w:rPr>
          <w:rFonts w:ascii="仿宋_GB2312" w:hAnsi="仿宋_GB2312" w:eastAsia="仿宋_GB2312" w:cs="仿宋_GB2312"/>
          <w:sz w:val="20"/>
          <w:szCs w:val="20"/>
        </w:rPr>
      </w:pPr>
    </w:p>
    <w:tbl>
      <w:tblPr>
        <w:tblStyle w:val="13"/>
        <w:tblpPr w:leftFromText="180" w:rightFromText="180" w:vertAnchor="text" w:horzAnchor="page" w:tblpX="1271" w:tblpY="354"/>
        <w:tblOverlap w:val="never"/>
        <w:tblW w:w="9811" w:type="dxa"/>
        <w:tblInd w:w="0" w:type="dxa"/>
        <w:tblLayout w:type="fixed"/>
        <w:tblCellMar>
          <w:top w:w="0" w:type="dxa"/>
          <w:left w:w="108" w:type="dxa"/>
          <w:bottom w:w="0" w:type="dxa"/>
          <w:right w:w="108" w:type="dxa"/>
        </w:tblCellMar>
      </w:tblPr>
      <w:tblGrid>
        <w:gridCol w:w="2025"/>
        <w:gridCol w:w="1170"/>
        <w:gridCol w:w="1675"/>
        <w:gridCol w:w="1218"/>
        <w:gridCol w:w="1254"/>
        <w:gridCol w:w="2469"/>
      </w:tblGrid>
      <w:tr>
        <w:tblPrEx>
          <w:tblCellMar>
            <w:top w:w="0" w:type="dxa"/>
            <w:left w:w="108" w:type="dxa"/>
            <w:bottom w:w="0" w:type="dxa"/>
            <w:right w:w="108" w:type="dxa"/>
          </w:tblCellMar>
        </w:tblPrEx>
        <w:trPr>
          <w:trHeight w:val="675" w:hRule="atLeast"/>
        </w:trPr>
        <w:tc>
          <w:tcPr>
            <w:tcW w:w="9811" w:type="dxa"/>
            <w:gridSpan w:val="6"/>
            <w:tcBorders>
              <w:top w:val="nil"/>
              <w:left w:val="nil"/>
              <w:bottom w:val="nil"/>
              <w:right w:val="nil"/>
            </w:tcBorders>
            <w:shd w:val="clear" w:color="auto" w:fill="auto"/>
            <w:vAlign w:val="center"/>
          </w:tcPr>
          <w:p>
            <w:pPr>
              <w:widowControl/>
              <w:jc w:val="both"/>
              <w:textAlignment w:val="center"/>
              <w:rPr>
                <w:rFonts w:ascii="宋体" w:hAnsi="宋体" w:cs="宋体"/>
                <w:b/>
                <w:color w:val="000000"/>
                <w:sz w:val="32"/>
                <w:szCs w:val="32"/>
              </w:rPr>
            </w:pPr>
            <w:r>
              <w:rPr>
                <w:rFonts w:hint="eastAsia" w:ascii="宋体" w:hAnsi="宋体" w:cs="宋体"/>
                <w:b/>
                <w:color w:val="000000"/>
                <w:sz w:val="32"/>
                <w:szCs w:val="32"/>
              </w:rPr>
              <w:t>2021年100万元以上（含）特定目标类部门预算项目绩效目标自评</w:t>
            </w:r>
          </w:p>
          <w:p>
            <w:pPr>
              <w:widowControl/>
              <w:jc w:val="center"/>
              <w:textAlignment w:val="center"/>
              <w:rPr>
                <w:rFonts w:ascii="宋体" w:hAnsi="宋体" w:cs="宋体"/>
                <w:b/>
                <w:sz w:val="32"/>
                <w:szCs w:val="32"/>
              </w:rPr>
            </w:pPr>
            <w:r>
              <w:rPr>
                <w:rFonts w:hint="eastAsia" w:ascii="宋体" w:hAnsi="宋体" w:cs="宋体"/>
                <w:b/>
                <w:sz w:val="32"/>
                <w:szCs w:val="32"/>
              </w:rPr>
              <w:t>(两校区评估项目)</w:t>
            </w:r>
          </w:p>
        </w:tc>
      </w:tr>
      <w:tr>
        <w:tblPrEx>
          <w:tblCellMar>
            <w:top w:w="0" w:type="dxa"/>
            <w:left w:w="108" w:type="dxa"/>
            <w:bottom w:w="0" w:type="dxa"/>
            <w:right w:w="108" w:type="dxa"/>
          </w:tblCellMar>
        </w:tblPrEx>
        <w:trPr>
          <w:trHeight w:val="254" w:hRule="atLeast"/>
        </w:trPr>
        <w:tc>
          <w:tcPr>
            <w:tcW w:w="31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主管部门及代码</w:t>
            </w:r>
          </w:p>
        </w:tc>
        <w:tc>
          <w:tcPr>
            <w:tcW w:w="2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四川省商务厅</w:t>
            </w:r>
            <w:r>
              <w:rPr>
                <w:rFonts w:hint="eastAsia" w:ascii="仿宋_GB2312" w:hAnsi="仿宋_GB2312" w:eastAsia="仿宋_GB2312" w:cs="仿宋_GB2312"/>
                <w:color w:val="000000" w:themeColor="text1"/>
                <w:sz w:val="20"/>
                <w:szCs w:val="20"/>
                <w14:textFill>
                  <w14:solidFill>
                    <w14:schemeClr w14:val="tx1"/>
                  </w14:solidFill>
                </w14:textFill>
              </w:rPr>
              <w:t>322</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实施单位</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四川商务职业学院</w:t>
            </w:r>
          </w:p>
        </w:tc>
      </w:tr>
      <w:tr>
        <w:tblPrEx>
          <w:tblCellMar>
            <w:top w:w="0" w:type="dxa"/>
            <w:left w:w="108" w:type="dxa"/>
            <w:bottom w:w="0" w:type="dxa"/>
            <w:right w:w="108" w:type="dxa"/>
          </w:tblCellMar>
        </w:tblPrEx>
        <w:trPr>
          <w:trHeight w:val="341" w:hRule="atLeast"/>
        </w:trPr>
        <w:tc>
          <w:tcPr>
            <w:tcW w:w="31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项目预算</w:t>
            </w:r>
          </w:p>
          <w:p>
            <w:pPr>
              <w:widowControl/>
              <w:spacing w:line="320" w:lineRule="exact"/>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执行情况</w:t>
            </w:r>
          </w:p>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（万元）</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 xml:space="preserve"> 预算数：</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150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 xml:space="preserve"> 执行数：</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r>
      <w:tr>
        <w:tblPrEx>
          <w:tblCellMar>
            <w:top w:w="0" w:type="dxa"/>
            <w:left w:w="108" w:type="dxa"/>
            <w:bottom w:w="0" w:type="dxa"/>
            <w:right w:w="108" w:type="dxa"/>
          </w:tblCellMar>
        </w:tblPrEx>
        <w:trPr>
          <w:trHeight w:val="555" w:hRule="atLeast"/>
        </w:trPr>
        <w:tc>
          <w:tcPr>
            <w:tcW w:w="31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其中：</w:t>
            </w:r>
          </w:p>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财政拨款</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150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其中：</w:t>
            </w:r>
          </w:p>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财政拨款</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r>
      <w:tr>
        <w:tblPrEx>
          <w:tblCellMar>
            <w:top w:w="0" w:type="dxa"/>
            <w:left w:w="108" w:type="dxa"/>
            <w:bottom w:w="0" w:type="dxa"/>
            <w:right w:w="108" w:type="dxa"/>
          </w:tblCellMar>
        </w:tblPrEx>
        <w:trPr>
          <w:trHeight w:val="341" w:hRule="atLeast"/>
        </w:trPr>
        <w:tc>
          <w:tcPr>
            <w:tcW w:w="31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其他资金</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sz w:val="20"/>
                <w:szCs w:val="20"/>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其他资金</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p>
        </w:tc>
      </w:tr>
      <w:tr>
        <w:tblPrEx>
          <w:tblCellMar>
            <w:top w:w="0" w:type="dxa"/>
            <w:left w:w="108" w:type="dxa"/>
            <w:bottom w:w="0" w:type="dxa"/>
            <w:right w:w="108" w:type="dxa"/>
          </w:tblCellMar>
        </w:tblPrEx>
        <w:trPr>
          <w:trHeight w:val="217" w:hRule="atLeast"/>
        </w:trPr>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年度总体目标</w:t>
            </w:r>
          </w:p>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完成情况</w:t>
            </w:r>
          </w:p>
        </w:tc>
        <w:tc>
          <w:tcPr>
            <w:tcW w:w="40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预期目标</w:t>
            </w:r>
          </w:p>
        </w:tc>
        <w:tc>
          <w:tcPr>
            <w:tcW w:w="37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目标实际完成情况</w:t>
            </w:r>
          </w:p>
        </w:tc>
      </w:tr>
      <w:tr>
        <w:tblPrEx>
          <w:tblCellMar>
            <w:top w:w="0" w:type="dxa"/>
            <w:left w:w="108" w:type="dxa"/>
            <w:bottom w:w="0" w:type="dxa"/>
            <w:right w:w="108" w:type="dxa"/>
          </w:tblCellMar>
        </w:tblPrEx>
        <w:trPr>
          <w:trHeight w:val="797" w:hRule="atLeast"/>
        </w:trPr>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4063"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仿宋_GB2312" w:hAnsi="仿宋_GB2312" w:eastAsia="仿宋_GB2312" w:cs="仿宋_GB2312"/>
                <w:sz w:val="20"/>
                <w:szCs w:val="20"/>
              </w:rPr>
            </w:pPr>
            <w:r>
              <w:rPr>
                <w:rFonts w:hint="eastAsia" w:ascii="仿宋_GB2312" w:hAnsi="仿宋_GB2312" w:eastAsia="仿宋_GB2312" w:cs="仿宋_GB2312"/>
                <w:sz w:val="20"/>
                <w:szCs w:val="20"/>
              </w:rPr>
              <w:t>由于成都市整体规划调整，我院青羊区文家校区属于迁出范围，经请示主管部门商务厅，同意将两校区整体置换搬迁，异地选址重建，使学院能有更好的发展。目前文家校区和和盛校区处置需要评估，故编制预算用于两校区的资产评估</w:t>
            </w:r>
          </w:p>
          <w:p>
            <w:pPr>
              <w:pStyle w:val="2"/>
              <w:spacing w:before="93"/>
              <w:rPr>
                <w:rFonts w:hAnsi="仿宋_GB2312" w:cs="仿宋_GB2312"/>
                <w:sz w:val="20"/>
                <w:szCs w:val="20"/>
              </w:rPr>
            </w:pPr>
          </w:p>
          <w:p>
            <w:pPr>
              <w:pStyle w:val="2"/>
              <w:spacing w:before="93"/>
              <w:rPr>
                <w:rFonts w:hAnsi="仿宋_GB2312" w:cs="仿宋_GB2312"/>
                <w:sz w:val="20"/>
                <w:szCs w:val="20"/>
              </w:rPr>
            </w:pPr>
          </w:p>
        </w:tc>
        <w:tc>
          <w:tcPr>
            <w:tcW w:w="3723"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仿宋_GB2312" w:hAnsi="仿宋_GB2312" w:eastAsia="仿宋_GB2312" w:cs="仿宋_GB2312"/>
                <w:sz w:val="20"/>
                <w:szCs w:val="20"/>
              </w:rPr>
            </w:pPr>
            <w:r>
              <w:rPr>
                <w:rFonts w:hint="eastAsia" w:ascii="仿宋_GB2312" w:hAnsi="仿宋_GB2312" w:eastAsia="仿宋_GB2312" w:cs="仿宋_GB2312"/>
                <w:sz w:val="20"/>
                <w:szCs w:val="20"/>
              </w:rPr>
              <w:t>由于我院新校区建设项目谈判未达到预期工作进度，向机关事务管理局咨询后被告知评估结果仅一年有效。经院长办公会、党委会审议通过，将2021年专项预算中两校区评估的费用进行了调整。故2021年暂未开展两校区资产评估工作。</w:t>
            </w:r>
          </w:p>
        </w:tc>
      </w:tr>
      <w:tr>
        <w:tblPrEx>
          <w:tblCellMar>
            <w:top w:w="0" w:type="dxa"/>
            <w:left w:w="108" w:type="dxa"/>
            <w:bottom w:w="0" w:type="dxa"/>
            <w:right w:w="108" w:type="dxa"/>
          </w:tblCellMar>
        </w:tblPrEx>
        <w:trPr>
          <w:trHeight w:val="693" w:hRule="atLeast"/>
        </w:trPr>
        <w:tc>
          <w:tcPr>
            <w:tcW w:w="2025"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年度绩效指标完成情况</w:t>
            </w:r>
          </w:p>
        </w:tc>
        <w:tc>
          <w:tcPr>
            <w:tcW w:w="1170"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一级</w:t>
            </w:r>
          </w:p>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二级</w:t>
            </w:r>
          </w:p>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三级</w:t>
            </w:r>
          </w:p>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预期指标值</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实际完成指标值</w:t>
            </w:r>
          </w:p>
        </w:tc>
      </w:tr>
      <w:tr>
        <w:tblPrEx>
          <w:tblCellMar>
            <w:top w:w="0" w:type="dxa"/>
            <w:left w:w="108" w:type="dxa"/>
            <w:bottom w:w="0" w:type="dxa"/>
            <w:right w:w="108" w:type="dxa"/>
          </w:tblCellMar>
        </w:tblPrEx>
        <w:trPr>
          <w:trHeight w:val="415" w:hRule="atLeast"/>
        </w:trPr>
        <w:tc>
          <w:tcPr>
            <w:tcW w:w="202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完成</w:t>
            </w:r>
          </w:p>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数量指标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完成时间</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2021年11月</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无</w:t>
            </w:r>
          </w:p>
        </w:tc>
      </w:tr>
      <w:tr>
        <w:tblPrEx>
          <w:tblCellMar>
            <w:top w:w="0" w:type="dxa"/>
            <w:left w:w="108" w:type="dxa"/>
            <w:bottom w:w="0" w:type="dxa"/>
            <w:right w:w="108" w:type="dxa"/>
          </w:tblCellMar>
        </w:tblPrEx>
        <w:trPr>
          <w:trHeight w:val="415" w:hRule="atLeast"/>
        </w:trPr>
        <w:tc>
          <w:tcPr>
            <w:tcW w:w="202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0"/>
                <w:szCs w:val="20"/>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质量指标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完成质量</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良好</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无</w:t>
            </w:r>
          </w:p>
        </w:tc>
      </w:tr>
      <w:tr>
        <w:tblPrEx>
          <w:tblCellMar>
            <w:top w:w="0" w:type="dxa"/>
            <w:left w:w="108" w:type="dxa"/>
            <w:bottom w:w="0" w:type="dxa"/>
            <w:right w:w="108" w:type="dxa"/>
          </w:tblCellMar>
        </w:tblPrEx>
        <w:trPr>
          <w:trHeight w:val="415" w:hRule="atLeast"/>
        </w:trPr>
        <w:tc>
          <w:tcPr>
            <w:tcW w:w="202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0"/>
                <w:szCs w:val="20"/>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时效指标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r>
      <w:tr>
        <w:tblPrEx>
          <w:tblCellMar>
            <w:top w:w="0" w:type="dxa"/>
            <w:left w:w="108" w:type="dxa"/>
            <w:bottom w:w="0" w:type="dxa"/>
            <w:right w:w="108" w:type="dxa"/>
          </w:tblCellMar>
        </w:tblPrEx>
        <w:trPr>
          <w:trHeight w:val="480" w:hRule="atLeast"/>
        </w:trPr>
        <w:tc>
          <w:tcPr>
            <w:tcW w:w="202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0"/>
                <w:szCs w:val="20"/>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成本指标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评估成本</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低</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无</w:t>
            </w:r>
          </w:p>
        </w:tc>
      </w:tr>
      <w:tr>
        <w:tblPrEx>
          <w:tblCellMar>
            <w:top w:w="0" w:type="dxa"/>
            <w:left w:w="108" w:type="dxa"/>
            <w:bottom w:w="0" w:type="dxa"/>
            <w:right w:w="108" w:type="dxa"/>
          </w:tblCellMar>
        </w:tblPrEx>
        <w:trPr>
          <w:trHeight w:val="480" w:hRule="atLeast"/>
        </w:trPr>
        <w:tc>
          <w:tcPr>
            <w:tcW w:w="202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效益</w:t>
            </w:r>
          </w:p>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经济效益  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评估估值</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低成本下的高估值</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无</w:t>
            </w:r>
          </w:p>
        </w:tc>
      </w:tr>
      <w:tr>
        <w:tblPrEx>
          <w:tblCellMar>
            <w:top w:w="0" w:type="dxa"/>
            <w:left w:w="108" w:type="dxa"/>
            <w:bottom w:w="0" w:type="dxa"/>
            <w:right w:w="108" w:type="dxa"/>
          </w:tblCellMar>
        </w:tblPrEx>
        <w:trPr>
          <w:trHeight w:val="480" w:hRule="atLeast"/>
        </w:trPr>
        <w:tc>
          <w:tcPr>
            <w:tcW w:w="202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0"/>
                <w:szCs w:val="20"/>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社会效益  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r>
      <w:tr>
        <w:tblPrEx>
          <w:tblCellMar>
            <w:top w:w="0" w:type="dxa"/>
            <w:left w:w="108" w:type="dxa"/>
            <w:bottom w:w="0" w:type="dxa"/>
            <w:right w:w="108" w:type="dxa"/>
          </w:tblCellMar>
        </w:tblPrEx>
        <w:trPr>
          <w:trHeight w:val="577" w:hRule="atLeast"/>
        </w:trPr>
        <w:tc>
          <w:tcPr>
            <w:tcW w:w="202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0"/>
                <w:szCs w:val="20"/>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ind w:left="383" w:leftChars="87" w:hanging="200" w:hangingChars="100"/>
              <w:jc w:val="left"/>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生态效益  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r>
      <w:tr>
        <w:tblPrEx>
          <w:tblCellMar>
            <w:top w:w="0" w:type="dxa"/>
            <w:left w:w="108" w:type="dxa"/>
            <w:bottom w:w="0" w:type="dxa"/>
            <w:right w:w="108" w:type="dxa"/>
          </w:tblCellMar>
        </w:tblPrEx>
        <w:trPr>
          <w:trHeight w:val="480" w:hRule="atLeast"/>
        </w:trPr>
        <w:tc>
          <w:tcPr>
            <w:tcW w:w="202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0"/>
                <w:szCs w:val="20"/>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可持续影响 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r>
      <w:tr>
        <w:tblPrEx>
          <w:tblCellMar>
            <w:top w:w="0" w:type="dxa"/>
            <w:left w:w="108" w:type="dxa"/>
            <w:bottom w:w="0" w:type="dxa"/>
            <w:right w:w="108" w:type="dxa"/>
          </w:tblCellMar>
        </w:tblPrEx>
        <w:trPr>
          <w:trHeight w:val="530" w:hRule="atLeast"/>
        </w:trPr>
        <w:tc>
          <w:tcPr>
            <w:tcW w:w="2025"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满意</w:t>
            </w:r>
          </w:p>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度指标</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满意度</w:t>
            </w:r>
          </w:p>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教职工满意度</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≥80%</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无</w:t>
            </w:r>
          </w:p>
        </w:tc>
      </w:tr>
    </w:tbl>
    <w:p>
      <w:pPr>
        <w:spacing w:line="600" w:lineRule="exact"/>
        <w:jc w:val="center"/>
        <w:rPr>
          <w:rFonts w:ascii="黑体" w:hAnsi="黑体" w:eastAsia="黑体"/>
          <w:sz w:val="44"/>
          <w:szCs w:val="44"/>
        </w:rPr>
      </w:pPr>
    </w:p>
    <w:p>
      <w:pPr>
        <w:spacing w:line="600" w:lineRule="exact"/>
        <w:jc w:val="center"/>
        <w:rPr>
          <w:rFonts w:ascii="黑体" w:hAnsi="黑体" w:eastAsia="黑体"/>
          <w:sz w:val="44"/>
          <w:szCs w:val="44"/>
        </w:rPr>
      </w:pPr>
    </w:p>
    <w:tbl>
      <w:tblPr>
        <w:tblStyle w:val="13"/>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1234"/>
        <w:gridCol w:w="1125"/>
        <w:gridCol w:w="1935"/>
        <w:gridCol w:w="1455"/>
        <w:gridCol w:w="1593"/>
        <w:gridCol w:w="2469"/>
      </w:tblGrid>
      <w:tr>
        <w:tblPrEx>
          <w:tblCellMar>
            <w:top w:w="0" w:type="dxa"/>
            <w:left w:w="108" w:type="dxa"/>
            <w:bottom w:w="0" w:type="dxa"/>
            <w:right w:w="108" w:type="dxa"/>
          </w:tblCellMar>
        </w:tblPrEx>
        <w:trPr>
          <w:trHeight w:val="675" w:hRule="atLeast"/>
        </w:trPr>
        <w:tc>
          <w:tcPr>
            <w:tcW w:w="9811" w:type="dxa"/>
            <w:gridSpan w:val="6"/>
            <w:tcBorders>
              <w:top w:val="nil"/>
              <w:left w:val="nil"/>
              <w:bottom w:val="nil"/>
              <w:right w:val="nil"/>
            </w:tcBorders>
            <w:shd w:val="clear" w:color="auto" w:fill="auto"/>
            <w:vAlign w:val="center"/>
          </w:tcPr>
          <w:p>
            <w:pPr>
              <w:widowControl/>
              <w:jc w:val="center"/>
              <w:textAlignment w:val="center"/>
              <w:rPr>
                <w:rFonts w:ascii="宋体" w:hAnsi="宋体" w:cs="宋体"/>
                <w:b/>
                <w:color w:val="000000"/>
                <w:sz w:val="32"/>
                <w:szCs w:val="32"/>
              </w:rPr>
            </w:pPr>
            <w:r>
              <w:rPr>
                <w:rFonts w:hint="eastAsia" w:ascii="宋体" w:hAnsi="宋体" w:cs="宋体"/>
                <w:b/>
                <w:color w:val="000000"/>
                <w:sz w:val="32"/>
                <w:szCs w:val="32"/>
              </w:rPr>
              <w:t>2021年100万元以上（含）特定目标类部门预算项目绩效目标自评</w:t>
            </w:r>
          </w:p>
          <w:p>
            <w:pPr>
              <w:widowControl/>
              <w:jc w:val="center"/>
              <w:textAlignment w:val="center"/>
              <w:rPr>
                <w:rFonts w:ascii="宋体" w:hAnsi="宋体" w:cs="宋体"/>
                <w:b/>
                <w:sz w:val="32"/>
                <w:szCs w:val="32"/>
              </w:rPr>
            </w:pPr>
            <w:r>
              <w:rPr>
                <w:rFonts w:hint="eastAsia" w:ascii="宋体" w:hAnsi="宋体" w:cs="宋体"/>
                <w:b/>
                <w:sz w:val="32"/>
                <w:szCs w:val="32"/>
              </w:rPr>
              <w:t>（教育教学成本（学生费用）项目）</w:t>
            </w:r>
          </w:p>
        </w:tc>
      </w:tr>
      <w:tr>
        <w:tblPrEx>
          <w:tblCellMar>
            <w:top w:w="0" w:type="dxa"/>
            <w:left w:w="108" w:type="dxa"/>
            <w:bottom w:w="0" w:type="dxa"/>
            <w:right w:w="108" w:type="dxa"/>
          </w:tblCellMar>
        </w:tblPrEx>
        <w:trPr>
          <w:trHeight w:val="254" w:hRule="atLeast"/>
        </w:trPr>
        <w:tc>
          <w:tcPr>
            <w:tcW w:w="23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主管部门及代码</w:t>
            </w:r>
          </w:p>
        </w:tc>
        <w:tc>
          <w:tcPr>
            <w:tcW w:w="3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四川省商务厅322</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实施单位</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四川商务职业学院</w:t>
            </w:r>
          </w:p>
        </w:tc>
      </w:tr>
      <w:tr>
        <w:tblPrEx>
          <w:tblCellMar>
            <w:top w:w="0" w:type="dxa"/>
            <w:left w:w="108" w:type="dxa"/>
            <w:bottom w:w="0" w:type="dxa"/>
            <w:right w:w="108" w:type="dxa"/>
          </w:tblCellMar>
        </w:tblPrEx>
        <w:trPr>
          <w:trHeight w:val="341" w:hRule="atLeast"/>
        </w:trPr>
        <w:tc>
          <w:tcPr>
            <w:tcW w:w="23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项目预算</w:t>
            </w:r>
          </w:p>
          <w:p>
            <w:pPr>
              <w:widowControl/>
              <w:spacing w:line="320" w:lineRule="exact"/>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执行情况</w:t>
            </w:r>
          </w:p>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（万元）</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 xml:space="preserve"> 预算数：</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382.5</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 xml:space="preserve"> 执行数：</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290.32</w:t>
            </w:r>
          </w:p>
        </w:tc>
      </w:tr>
      <w:tr>
        <w:tblPrEx>
          <w:tblCellMar>
            <w:top w:w="0" w:type="dxa"/>
            <w:left w:w="108" w:type="dxa"/>
            <w:bottom w:w="0" w:type="dxa"/>
            <w:right w:w="108" w:type="dxa"/>
          </w:tblCellMar>
        </w:tblPrEx>
        <w:trPr>
          <w:trHeight w:val="555" w:hRule="atLeast"/>
        </w:trPr>
        <w:tc>
          <w:tcPr>
            <w:tcW w:w="23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其中：</w:t>
            </w:r>
          </w:p>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财政拨款</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288</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其中：</w:t>
            </w:r>
          </w:p>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财政拨款</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258.63</w:t>
            </w:r>
          </w:p>
        </w:tc>
      </w:tr>
      <w:tr>
        <w:tblPrEx>
          <w:tblCellMar>
            <w:top w:w="0" w:type="dxa"/>
            <w:left w:w="108" w:type="dxa"/>
            <w:bottom w:w="0" w:type="dxa"/>
            <w:right w:w="108" w:type="dxa"/>
          </w:tblCellMar>
        </w:tblPrEx>
        <w:trPr>
          <w:trHeight w:val="341" w:hRule="atLeast"/>
        </w:trPr>
        <w:tc>
          <w:tcPr>
            <w:tcW w:w="23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其他资金</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94.5</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其他资金</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31.69</w:t>
            </w:r>
          </w:p>
        </w:tc>
      </w:tr>
      <w:tr>
        <w:tblPrEx>
          <w:tblCellMar>
            <w:top w:w="0" w:type="dxa"/>
            <w:left w:w="108" w:type="dxa"/>
            <w:bottom w:w="0" w:type="dxa"/>
            <w:right w:w="108" w:type="dxa"/>
          </w:tblCellMar>
        </w:tblPrEx>
        <w:trPr>
          <w:trHeight w:val="217" w:hRule="atLeast"/>
        </w:trPr>
        <w:tc>
          <w:tcPr>
            <w:tcW w:w="12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年度总体目标</w:t>
            </w:r>
          </w:p>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完成情况</w:t>
            </w:r>
          </w:p>
        </w:tc>
        <w:tc>
          <w:tcPr>
            <w:tcW w:w="45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预期目标</w:t>
            </w:r>
          </w:p>
        </w:tc>
        <w:tc>
          <w:tcPr>
            <w:tcW w:w="4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目标实际完成情况</w:t>
            </w:r>
          </w:p>
        </w:tc>
      </w:tr>
      <w:tr>
        <w:tblPrEx>
          <w:tblCellMar>
            <w:top w:w="0" w:type="dxa"/>
            <w:left w:w="108" w:type="dxa"/>
            <w:bottom w:w="0" w:type="dxa"/>
            <w:right w:w="108" w:type="dxa"/>
          </w:tblCellMar>
        </w:tblPrEx>
        <w:trPr>
          <w:trHeight w:val="797" w:hRule="atLeast"/>
        </w:trPr>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4515"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仿宋_GB2312" w:hAnsi="仿宋_GB2312" w:eastAsia="仿宋_GB2312" w:cs="仿宋_GB2312"/>
                <w:sz w:val="20"/>
                <w:szCs w:val="20"/>
              </w:rPr>
            </w:pPr>
            <w:r>
              <w:rPr>
                <w:rFonts w:hint="eastAsia" w:ascii="仿宋_GB2312" w:hAnsi="仿宋_GB2312" w:eastAsia="仿宋_GB2312" w:cs="仿宋_GB2312"/>
                <w:sz w:val="20"/>
                <w:szCs w:val="20"/>
              </w:rPr>
              <w:t>确保每个学生顺利完成军训，获得2个学分的军训学分，达到增强学生国防意识与锻炼身体素质的目的；风险补偿金项目促进了助学贷款工作健康持续的开展，为贫寒学子学业顺利完成提供了有力保障。校方责任险及实习责任险能有效的规避了教育管理的风险，降低了学校办学成本，化解了由意外伤害事故引发的“家校”矛盾，有利于和谐、平安校园的建设。</w:t>
            </w:r>
          </w:p>
          <w:p>
            <w:pPr>
              <w:pStyle w:val="2"/>
              <w:spacing w:before="93"/>
              <w:rPr>
                <w:rFonts w:hAnsi="仿宋_GB2312" w:cs="仿宋_GB2312"/>
                <w:sz w:val="20"/>
                <w:szCs w:val="20"/>
              </w:rPr>
            </w:pPr>
          </w:p>
        </w:tc>
        <w:tc>
          <w:tcPr>
            <w:tcW w:w="4062"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仿宋_GB2312" w:hAnsi="仿宋_GB2312" w:eastAsia="仿宋_GB2312" w:cs="仿宋_GB2312"/>
                <w:sz w:val="20"/>
                <w:szCs w:val="20"/>
              </w:rPr>
            </w:pPr>
            <w:r>
              <w:rPr>
                <w:rFonts w:hint="eastAsia" w:ascii="仿宋_GB2312" w:hAnsi="仿宋_GB2312" w:eastAsia="仿宋_GB2312" w:cs="仿宋_GB2312"/>
                <w:sz w:val="20"/>
                <w:szCs w:val="20"/>
              </w:rPr>
              <w:t>2021年我院顺利完成了2020级和2021级学生军训，每位参训学生获得了2个学分的军训学分，较好达到了增强学生国防意识与锻炼身体素质的目的。</w:t>
            </w:r>
          </w:p>
          <w:p>
            <w:pPr>
              <w:widowControl/>
              <w:spacing w:line="320" w:lineRule="exact"/>
              <w:jc w:val="left"/>
              <w:textAlignment w:val="top"/>
              <w:rPr>
                <w:rFonts w:ascii="仿宋_GB2312" w:hAnsi="仿宋_GB2312" w:eastAsia="仿宋_GB2312" w:cs="仿宋_GB2312"/>
                <w:sz w:val="20"/>
                <w:szCs w:val="20"/>
              </w:rPr>
            </w:pPr>
            <w:r>
              <w:rPr>
                <w:rFonts w:hint="eastAsia" w:ascii="仿宋_GB2312" w:hAnsi="仿宋_GB2312" w:eastAsia="仿宋_GB2312" w:cs="仿宋_GB2312"/>
                <w:sz w:val="20"/>
                <w:szCs w:val="20"/>
              </w:rPr>
              <w:t>2021年发放校内奖学金868人，金额54.4万元；临时困难补助17人，金额1.25万元；学费减免22人金额7.455万元；勤工勤工助学1759人次，缓解了家庭经济困难学生就学的经济压力，通过学生身边熟悉的榜样激励广大学生不断进步，实现了资助育人的目的</w:t>
            </w:r>
          </w:p>
        </w:tc>
      </w:tr>
      <w:tr>
        <w:tblPrEx>
          <w:tblCellMar>
            <w:top w:w="0" w:type="dxa"/>
            <w:left w:w="108" w:type="dxa"/>
            <w:bottom w:w="0" w:type="dxa"/>
            <w:right w:w="108" w:type="dxa"/>
          </w:tblCellMar>
        </w:tblPrEx>
        <w:trPr>
          <w:trHeight w:val="693" w:hRule="atLeast"/>
        </w:trPr>
        <w:tc>
          <w:tcPr>
            <w:tcW w:w="1234"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年度绩效指标完成情况</w:t>
            </w:r>
          </w:p>
        </w:tc>
        <w:tc>
          <w:tcPr>
            <w:tcW w:w="1125"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一级</w:t>
            </w:r>
          </w:p>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二级</w:t>
            </w:r>
          </w:p>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三级</w:t>
            </w:r>
          </w:p>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预期指标值</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实际完成指标值</w:t>
            </w:r>
          </w:p>
        </w:tc>
      </w:tr>
      <w:tr>
        <w:tblPrEx>
          <w:tblCellMar>
            <w:top w:w="0" w:type="dxa"/>
            <w:left w:w="108" w:type="dxa"/>
            <w:bottom w:w="0" w:type="dxa"/>
            <w:right w:w="108" w:type="dxa"/>
          </w:tblCellMar>
        </w:tblPrEx>
        <w:trPr>
          <w:trHeight w:val="415" w:hRule="atLeast"/>
        </w:trPr>
        <w:tc>
          <w:tcPr>
            <w:tcW w:w="123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完成</w:t>
            </w:r>
          </w:p>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935"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数量指标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贫困生人数</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4500人</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4062人</w:t>
            </w:r>
          </w:p>
        </w:tc>
      </w:tr>
      <w:tr>
        <w:tblPrEx>
          <w:tblCellMar>
            <w:top w:w="0" w:type="dxa"/>
            <w:left w:w="108" w:type="dxa"/>
            <w:bottom w:w="0" w:type="dxa"/>
            <w:right w:w="108" w:type="dxa"/>
          </w:tblCellMar>
        </w:tblPrEx>
        <w:trPr>
          <w:trHeight w:val="415" w:hRule="atLeast"/>
        </w:trPr>
        <w:tc>
          <w:tcPr>
            <w:tcW w:w="123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25" w:type="dxa"/>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0"/>
                <w:szCs w:val="20"/>
              </w:rPr>
            </w:pPr>
          </w:p>
        </w:tc>
        <w:tc>
          <w:tcPr>
            <w:tcW w:w="1935" w:type="dxa"/>
            <w:vMerge w:val="continue"/>
            <w:tcBorders>
              <w:left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0"/>
                <w:szCs w:val="20"/>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军训人数</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7000人</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6700人</w:t>
            </w:r>
          </w:p>
        </w:tc>
      </w:tr>
      <w:tr>
        <w:tblPrEx>
          <w:tblCellMar>
            <w:top w:w="0" w:type="dxa"/>
            <w:left w:w="108" w:type="dxa"/>
            <w:bottom w:w="0" w:type="dxa"/>
            <w:right w:w="108" w:type="dxa"/>
          </w:tblCellMar>
        </w:tblPrEx>
        <w:trPr>
          <w:trHeight w:val="415" w:hRule="atLeast"/>
        </w:trPr>
        <w:tc>
          <w:tcPr>
            <w:tcW w:w="123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25" w:type="dxa"/>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0"/>
                <w:szCs w:val="20"/>
              </w:rPr>
            </w:pPr>
          </w:p>
        </w:tc>
        <w:tc>
          <w:tcPr>
            <w:tcW w:w="1935" w:type="dxa"/>
            <w:vMerge w:val="continue"/>
            <w:tcBorders>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0"/>
                <w:szCs w:val="20"/>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勤工助学人次</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2000人次</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1759人次</w:t>
            </w:r>
          </w:p>
        </w:tc>
      </w:tr>
      <w:tr>
        <w:tblPrEx>
          <w:tblCellMar>
            <w:top w:w="0" w:type="dxa"/>
            <w:left w:w="108" w:type="dxa"/>
            <w:bottom w:w="0" w:type="dxa"/>
            <w:right w:w="108" w:type="dxa"/>
          </w:tblCellMar>
        </w:tblPrEx>
        <w:trPr>
          <w:trHeight w:val="415" w:hRule="atLeast"/>
        </w:trPr>
        <w:tc>
          <w:tcPr>
            <w:tcW w:w="123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0"/>
                <w:szCs w:val="20"/>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质量指标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r>
      <w:tr>
        <w:tblPrEx>
          <w:tblCellMar>
            <w:top w:w="0" w:type="dxa"/>
            <w:left w:w="108" w:type="dxa"/>
            <w:bottom w:w="0" w:type="dxa"/>
            <w:right w:w="108" w:type="dxa"/>
          </w:tblCellMar>
        </w:tblPrEx>
        <w:trPr>
          <w:trHeight w:val="415" w:hRule="atLeast"/>
        </w:trPr>
        <w:tc>
          <w:tcPr>
            <w:tcW w:w="123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0"/>
                <w:szCs w:val="20"/>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时效指标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r>
      <w:tr>
        <w:tblPrEx>
          <w:tblCellMar>
            <w:top w:w="0" w:type="dxa"/>
            <w:left w:w="108" w:type="dxa"/>
            <w:bottom w:w="0" w:type="dxa"/>
            <w:right w:w="108" w:type="dxa"/>
          </w:tblCellMar>
        </w:tblPrEx>
        <w:trPr>
          <w:trHeight w:val="480" w:hRule="atLeast"/>
        </w:trPr>
        <w:tc>
          <w:tcPr>
            <w:tcW w:w="123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0"/>
                <w:szCs w:val="20"/>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成本指标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r>
      <w:tr>
        <w:tblPrEx>
          <w:tblCellMar>
            <w:top w:w="0" w:type="dxa"/>
            <w:left w:w="108" w:type="dxa"/>
            <w:bottom w:w="0" w:type="dxa"/>
            <w:right w:w="108" w:type="dxa"/>
          </w:tblCellMar>
        </w:tblPrEx>
        <w:trPr>
          <w:trHeight w:val="480" w:hRule="atLeast"/>
        </w:trPr>
        <w:tc>
          <w:tcPr>
            <w:tcW w:w="123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效益</w:t>
            </w:r>
          </w:p>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经济效益  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r>
      <w:tr>
        <w:tblPrEx>
          <w:tblCellMar>
            <w:top w:w="0" w:type="dxa"/>
            <w:left w:w="108" w:type="dxa"/>
            <w:bottom w:w="0" w:type="dxa"/>
            <w:right w:w="108" w:type="dxa"/>
          </w:tblCellMar>
        </w:tblPrEx>
        <w:trPr>
          <w:trHeight w:val="480" w:hRule="atLeast"/>
        </w:trPr>
        <w:tc>
          <w:tcPr>
            <w:tcW w:w="123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0"/>
                <w:szCs w:val="20"/>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社会效益  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社会影响力</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良好</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良好</w:t>
            </w:r>
          </w:p>
        </w:tc>
      </w:tr>
      <w:tr>
        <w:tblPrEx>
          <w:tblCellMar>
            <w:top w:w="0" w:type="dxa"/>
            <w:left w:w="108" w:type="dxa"/>
            <w:bottom w:w="0" w:type="dxa"/>
            <w:right w:w="108" w:type="dxa"/>
          </w:tblCellMar>
        </w:tblPrEx>
        <w:trPr>
          <w:trHeight w:val="577" w:hRule="atLeast"/>
        </w:trPr>
        <w:tc>
          <w:tcPr>
            <w:tcW w:w="123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0"/>
                <w:szCs w:val="20"/>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ind w:left="383" w:leftChars="87" w:hanging="200" w:hangingChars="100"/>
              <w:jc w:val="left"/>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生态效益  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r>
      <w:tr>
        <w:tblPrEx>
          <w:tblCellMar>
            <w:top w:w="0" w:type="dxa"/>
            <w:left w:w="108" w:type="dxa"/>
            <w:bottom w:w="0" w:type="dxa"/>
            <w:right w:w="108" w:type="dxa"/>
          </w:tblCellMar>
        </w:tblPrEx>
        <w:trPr>
          <w:trHeight w:val="480" w:hRule="atLeast"/>
        </w:trPr>
        <w:tc>
          <w:tcPr>
            <w:tcW w:w="123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0"/>
                <w:szCs w:val="20"/>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可持续影响 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r>
      <w:tr>
        <w:tblPrEx>
          <w:tblCellMar>
            <w:top w:w="0" w:type="dxa"/>
            <w:left w:w="108" w:type="dxa"/>
            <w:bottom w:w="0" w:type="dxa"/>
            <w:right w:w="108" w:type="dxa"/>
          </w:tblCellMar>
        </w:tblPrEx>
        <w:trPr>
          <w:trHeight w:val="530" w:hRule="atLeast"/>
        </w:trPr>
        <w:tc>
          <w:tcPr>
            <w:tcW w:w="1234"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满意</w:t>
            </w:r>
          </w:p>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度指标</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满意度</w:t>
            </w:r>
          </w:p>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师生满意度</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≥95%</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≥95%</w:t>
            </w:r>
          </w:p>
        </w:tc>
      </w:tr>
    </w:tbl>
    <w:p>
      <w:pPr>
        <w:spacing w:line="600" w:lineRule="exact"/>
        <w:rPr>
          <w:rFonts w:ascii="黑体" w:hAnsi="黑体" w:eastAsia="黑体"/>
          <w:sz w:val="44"/>
          <w:szCs w:val="44"/>
        </w:rPr>
      </w:pPr>
    </w:p>
    <w:tbl>
      <w:tblPr>
        <w:tblStyle w:val="13"/>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2025"/>
        <w:gridCol w:w="1170"/>
        <w:gridCol w:w="1675"/>
        <w:gridCol w:w="1218"/>
        <w:gridCol w:w="1254"/>
        <w:gridCol w:w="2469"/>
      </w:tblGrid>
      <w:tr>
        <w:tblPrEx>
          <w:tblCellMar>
            <w:top w:w="0" w:type="dxa"/>
            <w:left w:w="108" w:type="dxa"/>
            <w:bottom w:w="0" w:type="dxa"/>
            <w:right w:w="108" w:type="dxa"/>
          </w:tblCellMar>
        </w:tblPrEx>
        <w:trPr>
          <w:trHeight w:val="675" w:hRule="atLeast"/>
        </w:trPr>
        <w:tc>
          <w:tcPr>
            <w:tcW w:w="9811" w:type="dxa"/>
            <w:gridSpan w:val="6"/>
            <w:tcBorders>
              <w:top w:val="nil"/>
              <w:left w:val="nil"/>
              <w:bottom w:val="nil"/>
              <w:right w:val="nil"/>
            </w:tcBorders>
            <w:shd w:val="clear" w:color="auto" w:fill="auto"/>
            <w:vAlign w:val="center"/>
          </w:tcPr>
          <w:p>
            <w:pPr>
              <w:widowControl/>
              <w:jc w:val="center"/>
              <w:textAlignment w:val="center"/>
              <w:rPr>
                <w:rFonts w:ascii="宋体" w:hAnsi="宋体" w:cs="宋体"/>
                <w:b/>
                <w:color w:val="000000"/>
                <w:sz w:val="32"/>
                <w:szCs w:val="32"/>
              </w:rPr>
            </w:pPr>
          </w:p>
          <w:p>
            <w:pPr>
              <w:widowControl/>
              <w:jc w:val="center"/>
              <w:textAlignment w:val="center"/>
              <w:rPr>
                <w:rFonts w:ascii="宋体" w:hAnsi="宋体" w:cs="宋体"/>
                <w:b/>
                <w:color w:val="000000"/>
                <w:sz w:val="32"/>
                <w:szCs w:val="32"/>
              </w:rPr>
            </w:pPr>
            <w:r>
              <w:rPr>
                <w:rFonts w:hint="eastAsia" w:ascii="宋体" w:hAnsi="宋体" w:cs="宋体"/>
                <w:b/>
                <w:color w:val="000000"/>
                <w:sz w:val="32"/>
                <w:szCs w:val="32"/>
              </w:rPr>
              <w:t>2021年100万元以上（含）特定目标类部门预算项目绩效目标自评</w:t>
            </w:r>
          </w:p>
          <w:p>
            <w:pPr>
              <w:widowControl/>
              <w:jc w:val="center"/>
              <w:textAlignment w:val="center"/>
              <w:rPr>
                <w:rFonts w:ascii="宋体" w:hAnsi="宋体" w:cs="宋体"/>
                <w:b/>
                <w:sz w:val="32"/>
                <w:szCs w:val="32"/>
              </w:rPr>
            </w:pPr>
            <w:r>
              <w:rPr>
                <w:rFonts w:hint="eastAsia" w:ascii="宋体" w:hAnsi="宋体" w:cs="宋体"/>
                <w:b/>
                <w:sz w:val="32"/>
                <w:szCs w:val="32"/>
              </w:rPr>
              <w:t>(高压线入地工程项目)</w:t>
            </w:r>
          </w:p>
        </w:tc>
      </w:tr>
      <w:tr>
        <w:tblPrEx>
          <w:tblCellMar>
            <w:top w:w="0" w:type="dxa"/>
            <w:left w:w="108" w:type="dxa"/>
            <w:bottom w:w="0" w:type="dxa"/>
            <w:right w:w="108" w:type="dxa"/>
          </w:tblCellMar>
        </w:tblPrEx>
        <w:trPr>
          <w:trHeight w:val="254" w:hRule="atLeast"/>
        </w:trPr>
        <w:tc>
          <w:tcPr>
            <w:tcW w:w="31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主管部门及代码</w:t>
            </w:r>
          </w:p>
        </w:tc>
        <w:tc>
          <w:tcPr>
            <w:tcW w:w="2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四川省商务厅322</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实施单位</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四川商务职业学院</w:t>
            </w:r>
          </w:p>
        </w:tc>
      </w:tr>
      <w:tr>
        <w:tblPrEx>
          <w:tblCellMar>
            <w:top w:w="0" w:type="dxa"/>
            <w:left w:w="108" w:type="dxa"/>
            <w:bottom w:w="0" w:type="dxa"/>
            <w:right w:w="108" w:type="dxa"/>
          </w:tblCellMar>
        </w:tblPrEx>
        <w:trPr>
          <w:trHeight w:val="341" w:hRule="atLeast"/>
        </w:trPr>
        <w:tc>
          <w:tcPr>
            <w:tcW w:w="31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项目预算</w:t>
            </w:r>
          </w:p>
          <w:p>
            <w:pPr>
              <w:widowControl/>
              <w:spacing w:line="320" w:lineRule="exact"/>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执行情况</w:t>
            </w:r>
          </w:p>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（万元）</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 xml:space="preserve"> 预算数：</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400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 xml:space="preserve"> 执行数：</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106.46</w:t>
            </w:r>
          </w:p>
        </w:tc>
      </w:tr>
      <w:tr>
        <w:tblPrEx>
          <w:tblCellMar>
            <w:top w:w="0" w:type="dxa"/>
            <w:left w:w="108" w:type="dxa"/>
            <w:bottom w:w="0" w:type="dxa"/>
            <w:right w:w="108" w:type="dxa"/>
          </w:tblCellMar>
        </w:tblPrEx>
        <w:trPr>
          <w:trHeight w:val="555" w:hRule="atLeast"/>
        </w:trPr>
        <w:tc>
          <w:tcPr>
            <w:tcW w:w="31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其中：</w:t>
            </w:r>
          </w:p>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财政拨款</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400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其中：</w:t>
            </w:r>
          </w:p>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财政拨款</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106.46</w:t>
            </w:r>
          </w:p>
        </w:tc>
      </w:tr>
      <w:tr>
        <w:tblPrEx>
          <w:tblCellMar>
            <w:top w:w="0" w:type="dxa"/>
            <w:left w:w="108" w:type="dxa"/>
            <w:bottom w:w="0" w:type="dxa"/>
            <w:right w:w="108" w:type="dxa"/>
          </w:tblCellMar>
        </w:tblPrEx>
        <w:trPr>
          <w:trHeight w:val="341" w:hRule="atLeast"/>
        </w:trPr>
        <w:tc>
          <w:tcPr>
            <w:tcW w:w="31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其他资金</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sz w:val="20"/>
                <w:szCs w:val="20"/>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其他资金</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p>
        </w:tc>
      </w:tr>
      <w:tr>
        <w:tblPrEx>
          <w:tblCellMar>
            <w:top w:w="0" w:type="dxa"/>
            <w:left w:w="108" w:type="dxa"/>
            <w:bottom w:w="0" w:type="dxa"/>
            <w:right w:w="108" w:type="dxa"/>
          </w:tblCellMar>
        </w:tblPrEx>
        <w:trPr>
          <w:trHeight w:val="217" w:hRule="atLeast"/>
        </w:trPr>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年度总体目标</w:t>
            </w:r>
          </w:p>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完成情况</w:t>
            </w:r>
          </w:p>
        </w:tc>
        <w:tc>
          <w:tcPr>
            <w:tcW w:w="40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预期目标</w:t>
            </w:r>
          </w:p>
        </w:tc>
        <w:tc>
          <w:tcPr>
            <w:tcW w:w="37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目标实际完成情况</w:t>
            </w:r>
          </w:p>
        </w:tc>
      </w:tr>
      <w:tr>
        <w:tblPrEx>
          <w:tblCellMar>
            <w:top w:w="0" w:type="dxa"/>
            <w:left w:w="108" w:type="dxa"/>
            <w:bottom w:w="0" w:type="dxa"/>
            <w:right w:w="108" w:type="dxa"/>
          </w:tblCellMar>
        </w:tblPrEx>
        <w:trPr>
          <w:trHeight w:val="797" w:hRule="atLeast"/>
        </w:trPr>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4063"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仿宋_GB2312" w:hAnsi="仿宋_GB2312" w:eastAsia="仿宋_GB2312" w:cs="仿宋_GB2312"/>
                <w:sz w:val="20"/>
                <w:szCs w:val="20"/>
              </w:rPr>
            </w:pPr>
            <w:r>
              <w:rPr>
                <w:rFonts w:hint="eastAsia" w:ascii="仿宋_GB2312" w:hAnsi="仿宋_GB2312" w:eastAsia="仿宋_GB2312" w:cs="仿宋_GB2312"/>
                <w:sz w:val="20"/>
                <w:szCs w:val="20"/>
              </w:rPr>
              <w:t>为了学院运动场建设项目的顺利实施，根据国家电力部门相关规定，高压线必须入地才能保证师生人身安全需要。</w:t>
            </w:r>
          </w:p>
          <w:p>
            <w:pPr>
              <w:pStyle w:val="2"/>
              <w:spacing w:before="93"/>
              <w:rPr>
                <w:rFonts w:hAnsi="仿宋_GB2312" w:cs="仿宋_GB2312"/>
                <w:sz w:val="20"/>
                <w:szCs w:val="20"/>
              </w:rPr>
            </w:pPr>
          </w:p>
          <w:p>
            <w:pPr>
              <w:pStyle w:val="2"/>
              <w:spacing w:before="93"/>
              <w:rPr>
                <w:rFonts w:hAnsi="仿宋_GB2312" w:cs="仿宋_GB2312"/>
                <w:sz w:val="20"/>
                <w:szCs w:val="20"/>
              </w:rPr>
            </w:pPr>
          </w:p>
          <w:p>
            <w:pPr>
              <w:pStyle w:val="2"/>
              <w:spacing w:before="93"/>
              <w:rPr>
                <w:rFonts w:hAnsi="仿宋_GB2312" w:cs="仿宋_GB2312"/>
                <w:sz w:val="20"/>
                <w:szCs w:val="20"/>
              </w:rPr>
            </w:pPr>
          </w:p>
        </w:tc>
        <w:tc>
          <w:tcPr>
            <w:tcW w:w="3723"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仿宋_GB2312" w:hAnsi="仿宋_GB2312" w:eastAsia="仿宋_GB2312" w:cs="仿宋_GB2312"/>
                <w:sz w:val="20"/>
                <w:szCs w:val="20"/>
              </w:rPr>
            </w:pPr>
            <w:r>
              <w:rPr>
                <w:rFonts w:hint="eastAsia" w:ascii="仿宋_GB2312" w:hAnsi="仿宋_GB2312" w:eastAsia="仿宋_GB2312" w:cs="仿宋_GB2312"/>
                <w:sz w:val="20"/>
                <w:szCs w:val="20"/>
              </w:rPr>
              <w:t>已经全部完成并达到了相关要求，保障了师生人身安全需求。</w:t>
            </w:r>
          </w:p>
        </w:tc>
      </w:tr>
      <w:tr>
        <w:tblPrEx>
          <w:tblCellMar>
            <w:top w:w="0" w:type="dxa"/>
            <w:left w:w="108" w:type="dxa"/>
            <w:bottom w:w="0" w:type="dxa"/>
            <w:right w:w="108" w:type="dxa"/>
          </w:tblCellMar>
        </w:tblPrEx>
        <w:trPr>
          <w:trHeight w:val="693" w:hRule="atLeast"/>
        </w:trPr>
        <w:tc>
          <w:tcPr>
            <w:tcW w:w="2025"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年度绩效指标完成情况</w:t>
            </w:r>
          </w:p>
        </w:tc>
        <w:tc>
          <w:tcPr>
            <w:tcW w:w="1170"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一级</w:t>
            </w:r>
          </w:p>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二级</w:t>
            </w:r>
          </w:p>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三级</w:t>
            </w:r>
          </w:p>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预期指标值</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实际完成指标值</w:t>
            </w:r>
          </w:p>
        </w:tc>
      </w:tr>
      <w:tr>
        <w:tblPrEx>
          <w:tblCellMar>
            <w:top w:w="0" w:type="dxa"/>
            <w:left w:w="108" w:type="dxa"/>
            <w:bottom w:w="0" w:type="dxa"/>
            <w:right w:w="108" w:type="dxa"/>
          </w:tblCellMar>
        </w:tblPrEx>
        <w:trPr>
          <w:trHeight w:val="415" w:hRule="atLeast"/>
        </w:trPr>
        <w:tc>
          <w:tcPr>
            <w:tcW w:w="202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完成</w:t>
            </w:r>
          </w:p>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数量指标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高压线施工长度</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600米</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466米（优化了线路）</w:t>
            </w:r>
          </w:p>
        </w:tc>
      </w:tr>
      <w:tr>
        <w:tblPrEx>
          <w:tblCellMar>
            <w:top w:w="0" w:type="dxa"/>
            <w:left w:w="108" w:type="dxa"/>
            <w:bottom w:w="0" w:type="dxa"/>
            <w:right w:w="108" w:type="dxa"/>
          </w:tblCellMar>
        </w:tblPrEx>
        <w:trPr>
          <w:trHeight w:val="415" w:hRule="atLeast"/>
        </w:trPr>
        <w:tc>
          <w:tcPr>
            <w:tcW w:w="202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0"/>
                <w:szCs w:val="20"/>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质量指标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达到国家相关规定</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良好</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良好</w:t>
            </w:r>
          </w:p>
        </w:tc>
      </w:tr>
      <w:tr>
        <w:tblPrEx>
          <w:tblCellMar>
            <w:top w:w="0" w:type="dxa"/>
            <w:left w:w="108" w:type="dxa"/>
            <w:bottom w:w="0" w:type="dxa"/>
            <w:right w:w="108" w:type="dxa"/>
          </w:tblCellMar>
        </w:tblPrEx>
        <w:trPr>
          <w:trHeight w:val="415" w:hRule="atLeast"/>
        </w:trPr>
        <w:tc>
          <w:tcPr>
            <w:tcW w:w="202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0"/>
                <w:szCs w:val="20"/>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时效指标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完成时间</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12月</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12月</w:t>
            </w:r>
          </w:p>
        </w:tc>
      </w:tr>
      <w:tr>
        <w:tblPrEx>
          <w:tblCellMar>
            <w:top w:w="0" w:type="dxa"/>
            <w:left w:w="108" w:type="dxa"/>
            <w:bottom w:w="0" w:type="dxa"/>
            <w:right w:w="108" w:type="dxa"/>
          </w:tblCellMar>
        </w:tblPrEx>
        <w:trPr>
          <w:trHeight w:val="480" w:hRule="atLeast"/>
        </w:trPr>
        <w:tc>
          <w:tcPr>
            <w:tcW w:w="202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0"/>
                <w:szCs w:val="20"/>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成本指标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r>
      <w:tr>
        <w:tblPrEx>
          <w:tblCellMar>
            <w:top w:w="0" w:type="dxa"/>
            <w:left w:w="108" w:type="dxa"/>
            <w:bottom w:w="0" w:type="dxa"/>
            <w:right w:w="108" w:type="dxa"/>
          </w:tblCellMar>
        </w:tblPrEx>
        <w:trPr>
          <w:trHeight w:val="480" w:hRule="atLeast"/>
        </w:trPr>
        <w:tc>
          <w:tcPr>
            <w:tcW w:w="202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效益</w:t>
            </w:r>
          </w:p>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经济效益  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r>
      <w:tr>
        <w:tblPrEx>
          <w:tblCellMar>
            <w:top w:w="0" w:type="dxa"/>
            <w:left w:w="108" w:type="dxa"/>
            <w:bottom w:w="0" w:type="dxa"/>
            <w:right w:w="108" w:type="dxa"/>
          </w:tblCellMar>
        </w:tblPrEx>
        <w:trPr>
          <w:trHeight w:val="480" w:hRule="atLeast"/>
        </w:trPr>
        <w:tc>
          <w:tcPr>
            <w:tcW w:w="202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0"/>
                <w:szCs w:val="20"/>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社会效益  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r>
      <w:tr>
        <w:tblPrEx>
          <w:tblCellMar>
            <w:top w:w="0" w:type="dxa"/>
            <w:left w:w="108" w:type="dxa"/>
            <w:bottom w:w="0" w:type="dxa"/>
            <w:right w:w="108" w:type="dxa"/>
          </w:tblCellMar>
        </w:tblPrEx>
        <w:trPr>
          <w:trHeight w:val="577" w:hRule="atLeast"/>
        </w:trPr>
        <w:tc>
          <w:tcPr>
            <w:tcW w:w="202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0"/>
                <w:szCs w:val="20"/>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ind w:left="383" w:leftChars="87" w:hanging="200" w:hangingChars="100"/>
              <w:jc w:val="left"/>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生态效益  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r>
      <w:tr>
        <w:tblPrEx>
          <w:tblCellMar>
            <w:top w:w="0" w:type="dxa"/>
            <w:left w:w="108" w:type="dxa"/>
            <w:bottom w:w="0" w:type="dxa"/>
            <w:right w:w="108" w:type="dxa"/>
          </w:tblCellMar>
        </w:tblPrEx>
        <w:trPr>
          <w:trHeight w:val="480" w:hRule="atLeast"/>
        </w:trPr>
        <w:tc>
          <w:tcPr>
            <w:tcW w:w="202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0"/>
                <w:szCs w:val="20"/>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可持续影响 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可使用年限</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&gt;=15</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&gt;=15</w:t>
            </w:r>
          </w:p>
        </w:tc>
      </w:tr>
      <w:tr>
        <w:tblPrEx>
          <w:tblCellMar>
            <w:top w:w="0" w:type="dxa"/>
            <w:left w:w="108" w:type="dxa"/>
            <w:bottom w:w="0" w:type="dxa"/>
            <w:right w:w="108" w:type="dxa"/>
          </w:tblCellMar>
        </w:tblPrEx>
        <w:trPr>
          <w:trHeight w:val="530" w:hRule="atLeast"/>
        </w:trPr>
        <w:tc>
          <w:tcPr>
            <w:tcW w:w="2025"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满意</w:t>
            </w:r>
          </w:p>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度指标</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满意度</w:t>
            </w:r>
          </w:p>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师生满意度</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≥90</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≥90</w:t>
            </w:r>
          </w:p>
        </w:tc>
      </w:tr>
    </w:tbl>
    <w:p>
      <w:pPr>
        <w:spacing w:line="600" w:lineRule="exact"/>
        <w:jc w:val="center"/>
        <w:rPr>
          <w:rFonts w:ascii="黑体" w:hAnsi="黑体" w:eastAsia="黑体"/>
          <w:sz w:val="44"/>
          <w:szCs w:val="44"/>
        </w:rPr>
      </w:pPr>
    </w:p>
    <w:tbl>
      <w:tblPr>
        <w:tblStyle w:val="13"/>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2025"/>
        <w:gridCol w:w="1170"/>
        <w:gridCol w:w="1675"/>
        <w:gridCol w:w="1218"/>
        <w:gridCol w:w="1254"/>
        <w:gridCol w:w="2469"/>
      </w:tblGrid>
      <w:tr>
        <w:tblPrEx>
          <w:tblCellMar>
            <w:top w:w="0" w:type="dxa"/>
            <w:left w:w="108" w:type="dxa"/>
            <w:bottom w:w="0" w:type="dxa"/>
            <w:right w:w="108" w:type="dxa"/>
          </w:tblCellMar>
        </w:tblPrEx>
        <w:trPr>
          <w:trHeight w:val="675" w:hRule="atLeast"/>
        </w:trPr>
        <w:tc>
          <w:tcPr>
            <w:tcW w:w="9811" w:type="dxa"/>
            <w:gridSpan w:val="6"/>
            <w:tcBorders>
              <w:top w:val="nil"/>
              <w:left w:val="nil"/>
              <w:bottom w:val="nil"/>
              <w:right w:val="nil"/>
            </w:tcBorders>
            <w:shd w:val="clear" w:color="auto" w:fill="auto"/>
            <w:vAlign w:val="center"/>
          </w:tcPr>
          <w:p>
            <w:pPr>
              <w:widowControl/>
              <w:jc w:val="center"/>
              <w:textAlignment w:val="center"/>
              <w:rPr>
                <w:rFonts w:ascii="宋体" w:hAnsi="宋体" w:cs="宋体"/>
                <w:b/>
                <w:color w:val="000000"/>
                <w:sz w:val="32"/>
                <w:szCs w:val="32"/>
              </w:rPr>
            </w:pPr>
          </w:p>
          <w:p>
            <w:pPr>
              <w:widowControl/>
              <w:jc w:val="center"/>
              <w:textAlignment w:val="center"/>
              <w:rPr>
                <w:rFonts w:ascii="宋体" w:hAnsi="宋体" w:cs="宋体"/>
                <w:b/>
                <w:color w:val="000000"/>
                <w:sz w:val="32"/>
                <w:szCs w:val="32"/>
              </w:rPr>
            </w:pPr>
          </w:p>
          <w:p>
            <w:pPr>
              <w:widowControl/>
              <w:jc w:val="center"/>
              <w:textAlignment w:val="center"/>
              <w:rPr>
                <w:rFonts w:ascii="宋体" w:hAnsi="宋体" w:cs="宋体"/>
                <w:b/>
                <w:color w:val="000000"/>
                <w:sz w:val="32"/>
                <w:szCs w:val="32"/>
              </w:rPr>
            </w:pPr>
          </w:p>
          <w:p>
            <w:pPr>
              <w:widowControl/>
              <w:jc w:val="center"/>
              <w:textAlignment w:val="center"/>
              <w:rPr>
                <w:rFonts w:ascii="宋体" w:hAnsi="宋体" w:cs="宋体"/>
                <w:b/>
                <w:color w:val="000000"/>
                <w:sz w:val="32"/>
                <w:szCs w:val="32"/>
              </w:rPr>
            </w:pPr>
            <w:r>
              <w:rPr>
                <w:rFonts w:hint="eastAsia" w:ascii="宋体" w:hAnsi="宋体" w:cs="宋体"/>
                <w:b/>
                <w:color w:val="000000"/>
                <w:sz w:val="32"/>
                <w:szCs w:val="32"/>
              </w:rPr>
              <w:t>2021年100万元以上（含）特定目标类部门预算项目绩效目标自评</w:t>
            </w:r>
          </w:p>
          <w:p>
            <w:pPr>
              <w:widowControl/>
              <w:jc w:val="center"/>
              <w:textAlignment w:val="center"/>
              <w:rPr>
                <w:rFonts w:ascii="宋体" w:hAnsi="宋体" w:cs="宋体"/>
                <w:b/>
                <w:sz w:val="32"/>
                <w:szCs w:val="32"/>
              </w:rPr>
            </w:pPr>
            <w:r>
              <w:rPr>
                <w:rFonts w:hint="eastAsia" w:ascii="宋体" w:hAnsi="宋体" w:cs="宋体"/>
                <w:b/>
                <w:sz w:val="32"/>
                <w:szCs w:val="32"/>
              </w:rPr>
              <w:t>(新校区设计费项目)</w:t>
            </w:r>
          </w:p>
        </w:tc>
      </w:tr>
      <w:tr>
        <w:tblPrEx>
          <w:tblCellMar>
            <w:top w:w="0" w:type="dxa"/>
            <w:left w:w="108" w:type="dxa"/>
            <w:bottom w:w="0" w:type="dxa"/>
            <w:right w:w="108" w:type="dxa"/>
          </w:tblCellMar>
        </w:tblPrEx>
        <w:trPr>
          <w:trHeight w:val="254" w:hRule="atLeast"/>
        </w:trPr>
        <w:tc>
          <w:tcPr>
            <w:tcW w:w="31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主管部门及代码</w:t>
            </w:r>
          </w:p>
        </w:tc>
        <w:tc>
          <w:tcPr>
            <w:tcW w:w="2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四川省商务厅322</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实施单位</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四川商务职业学院</w:t>
            </w:r>
          </w:p>
        </w:tc>
      </w:tr>
      <w:tr>
        <w:tblPrEx>
          <w:tblCellMar>
            <w:top w:w="0" w:type="dxa"/>
            <w:left w:w="108" w:type="dxa"/>
            <w:bottom w:w="0" w:type="dxa"/>
            <w:right w:w="108" w:type="dxa"/>
          </w:tblCellMar>
        </w:tblPrEx>
        <w:trPr>
          <w:trHeight w:val="341" w:hRule="atLeast"/>
        </w:trPr>
        <w:tc>
          <w:tcPr>
            <w:tcW w:w="31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项目预算</w:t>
            </w:r>
          </w:p>
          <w:p>
            <w:pPr>
              <w:widowControl/>
              <w:spacing w:line="320" w:lineRule="exact"/>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执行情况</w:t>
            </w:r>
          </w:p>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（万元）</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 xml:space="preserve"> 预算数：</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204</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 xml:space="preserve"> 执行数：</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r>
      <w:tr>
        <w:trPr>
          <w:trHeight w:val="555" w:hRule="atLeast"/>
        </w:trPr>
        <w:tc>
          <w:tcPr>
            <w:tcW w:w="31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其中：</w:t>
            </w:r>
          </w:p>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财政拨款</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54</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其中：</w:t>
            </w:r>
          </w:p>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财政拨款</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r>
      <w:tr>
        <w:tblPrEx>
          <w:tblCellMar>
            <w:top w:w="0" w:type="dxa"/>
            <w:left w:w="108" w:type="dxa"/>
            <w:bottom w:w="0" w:type="dxa"/>
            <w:right w:w="108" w:type="dxa"/>
          </w:tblCellMar>
        </w:tblPrEx>
        <w:trPr>
          <w:trHeight w:val="341" w:hRule="atLeast"/>
        </w:trPr>
        <w:tc>
          <w:tcPr>
            <w:tcW w:w="31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其他资金</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150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其他资金</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r>
      <w:tr>
        <w:tblPrEx>
          <w:tblCellMar>
            <w:top w:w="0" w:type="dxa"/>
            <w:left w:w="108" w:type="dxa"/>
            <w:bottom w:w="0" w:type="dxa"/>
            <w:right w:w="108" w:type="dxa"/>
          </w:tblCellMar>
        </w:tblPrEx>
        <w:trPr>
          <w:trHeight w:val="217" w:hRule="atLeast"/>
        </w:trPr>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年度总体目标</w:t>
            </w:r>
          </w:p>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完成情况</w:t>
            </w:r>
          </w:p>
        </w:tc>
        <w:tc>
          <w:tcPr>
            <w:tcW w:w="40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预期目标</w:t>
            </w:r>
          </w:p>
        </w:tc>
        <w:tc>
          <w:tcPr>
            <w:tcW w:w="37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目标实际完成情况</w:t>
            </w:r>
          </w:p>
        </w:tc>
      </w:tr>
      <w:tr>
        <w:tblPrEx>
          <w:tblCellMar>
            <w:top w:w="0" w:type="dxa"/>
            <w:left w:w="108" w:type="dxa"/>
            <w:bottom w:w="0" w:type="dxa"/>
            <w:right w:w="108" w:type="dxa"/>
          </w:tblCellMar>
        </w:tblPrEx>
        <w:trPr>
          <w:trHeight w:val="797" w:hRule="atLeast"/>
        </w:trPr>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4063"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仿宋_GB2312" w:hAnsi="仿宋_GB2312" w:eastAsia="仿宋_GB2312" w:cs="仿宋_GB2312"/>
                <w:sz w:val="20"/>
                <w:szCs w:val="20"/>
              </w:rPr>
            </w:pPr>
            <w:r>
              <w:rPr>
                <w:rFonts w:hint="eastAsia" w:ascii="仿宋_GB2312" w:hAnsi="仿宋_GB2312" w:eastAsia="仿宋_GB2312" w:cs="仿宋_GB2312"/>
                <w:sz w:val="20"/>
                <w:szCs w:val="20"/>
              </w:rPr>
              <w:t>因成都市城市规划调整，我院拟将现有文家校区、和盛校区整体置换搬迁，拟在异地新征地800-1000亩建设新校区，目前初步选址卭崃羊安，特预算150万元，用于新校区规划设计费用。</w:t>
            </w:r>
          </w:p>
          <w:p>
            <w:pPr>
              <w:pStyle w:val="2"/>
              <w:spacing w:before="93"/>
              <w:rPr>
                <w:rFonts w:hAnsi="仿宋_GB2312" w:cs="仿宋_GB2312"/>
                <w:sz w:val="20"/>
                <w:szCs w:val="20"/>
              </w:rPr>
            </w:pPr>
          </w:p>
          <w:p>
            <w:pPr>
              <w:pStyle w:val="2"/>
              <w:spacing w:before="93"/>
              <w:rPr>
                <w:rFonts w:hAnsi="仿宋_GB2312" w:cs="仿宋_GB2312"/>
                <w:sz w:val="20"/>
                <w:szCs w:val="20"/>
              </w:rPr>
            </w:pPr>
          </w:p>
          <w:p>
            <w:pPr>
              <w:pStyle w:val="2"/>
              <w:spacing w:before="93"/>
              <w:rPr>
                <w:rFonts w:hAnsi="仿宋_GB2312" w:cs="仿宋_GB2312"/>
                <w:sz w:val="20"/>
                <w:szCs w:val="20"/>
              </w:rPr>
            </w:pPr>
          </w:p>
        </w:tc>
        <w:tc>
          <w:tcPr>
            <w:tcW w:w="3723"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仿宋_GB2312" w:hAnsi="仿宋_GB2312" w:eastAsia="仿宋_GB2312" w:cs="仿宋_GB2312"/>
                <w:sz w:val="20"/>
                <w:szCs w:val="20"/>
              </w:rPr>
            </w:pPr>
            <w:r>
              <w:rPr>
                <w:rFonts w:hint="eastAsia" w:ascii="仿宋_GB2312" w:hAnsi="仿宋_GB2312" w:eastAsia="仿宋_GB2312" w:cs="仿宋_GB2312"/>
                <w:sz w:val="20"/>
                <w:szCs w:val="20"/>
              </w:rPr>
              <w:t>未完成（因为政府在实际征地过程中手续复杂未征到相关土地所以无法实施规划设计）</w:t>
            </w:r>
          </w:p>
        </w:tc>
      </w:tr>
      <w:tr>
        <w:trPr>
          <w:trHeight w:val="693" w:hRule="atLeast"/>
        </w:trPr>
        <w:tc>
          <w:tcPr>
            <w:tcW w:w="2025"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年度绩效指标完成情况</w:t>
            </w:r>
          </w:p>
        </w:tc>
        <w:tc>
          <w:tcPr>
            <w:tcW w:w="1170"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一级</w:t>
            </w:r>
          </w:p>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二级</w:t>
            </w:r>
          </w:p>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三级</w:t>
            </w:r>
          </w:p>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预期指标值</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实际完成指标值</w:t>
            </w:r>
          </w:p>
        </w:tc>
      </w:tr>
      <w:tr>
        <w:tblPrEx>
          <w:tblCellMar>
            <w:top w:w="0" w:type="dxa"/>
            <w:left w:w="108" w:type="dxa"/>
            <w:bottom w:w="0" w:type="dxa"/>
            <w:right w:w="108" w:type="dxa"/>
          </w:tblCellMar>
        </w:tblPrEx>
        <w:trPr>
          <w:trHeight w:val="415" w:hRule="atLeast"/>
        </w:trPr>
        <w:tc>
          <w:tcPr>
            <w:tcW w:w="202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完成</w:t>
            </w:r>
          </w:p>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数量指标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设计占地范围</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1000亩</w:t>
            </w:r>
          </w:p>
        </w:tc>
        <w:tc>
          <w:tcPr>
            <w:tcW w:w="2469"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该项目暂停实施</w:t>
            </w:r>
          </w:p>
        </w:tc>
      </w:tr>
      <w:tr>
        <w:tblPrEx>
          <w:tblCellMar>
            <w:top w:w="0" w:type="dxa"/>
            <w:left w:w="108" w:type="dxa"/>
            <w:bottom w:w="0" w:type="dxa"/>
            <w:right w:w="108" w:type="dxa"/>
          </w:tblCellMar>
        </w:tblPrEx>
        <w:trPr>
          <w:trHeight w:val="415" w:hRule="atLeast"/>
        </w:trPr>
        <w:tc>
          <w:tcPr>
            <w:tcW w:w="202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0"/>
                <w:szCs w:val="20"/>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质量指标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设计效果</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良好</w:t>
            </w:r>
          </w:p>
        </w:tc>
        <w:tc>
          <w:tcPr>
            <w:tcW w:w="2469" w:type="dxa"/>
            <w:vMerge w:val="continue"/>
            <w:tcBorders>
              <w:left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r>
      <w:tr>
        <w:tblPrEx>
          <w:tblCellMar>
            <w:top w:w="0" w:type="dxa"/>
            <w:left w:w="108" w:type="dxa"/>
            <w:bottom w:w="0" w:type="dxa"/>
            <w:right w:w="108" w:type="dxa"/>
          </w:tblCellMar>
        </w:tblPrEx>
        <w:trPr>
          <w:trHeight w:val="415" w:hRule="atLeast"/>
        </w:trPr>
        <w:tc>
          <w:tcPr>
            <w:tcW w:w="202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0"/>
                <w:szCs w:val="20"/>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时效指标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2469" w:type="dxa"/>
            <w:vMerge w:val="continue"/>
            <w:tcBorders>
              <w:left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r>
      <w:tr>
        <w:trPr>
          <w:trHeight w:val="480" w:hRule="atLeast"/>
        </w:trPr>
        <w:tc>
          <w:tcPr>
            <w:tcW w:w="202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0"/>
                <w:szCs w:val="20"/>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成本指标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设计成本</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低</w:t>
            </w:r>
          </w:p>
        </w:tc>
        <w:tc>
          <w:tcPr>
            <w:tcW w:w="2469" w:type="dxa"/>
            <w:vMerge w:val="continue"/>
            <w:tcBorders>
              <w:left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r>
      <w:tr>
        <w:tblPrEx>
          <w:tblCellMar>
            <w:top w:w="0" w:type="dxa"/>
            <w:left w:w="108" w:type="dxa"/>
            <w:bottom w:w="0" w:type="dxa"/>
            <w:right w:w="108" w:type="dxa"/>
          </w:tblCellMar>
        </w:tblPrEx>
        <w:trPr>
          <w:trHeight w:val="480" w:hRule="atLeast"/>
        </w:trPr>
        <w:tc>
          <w:tcPr>
            <w:tcW w:w="202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效益</w:t>
            </w:r>
          </w:p>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经济效益  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2469" w:type="dxa"/>
            <w:vMerge w:val="continue"/>
            <w:tcBorders>
              <w:left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r>
      <w:tr>
        <w:tblPrEx>
          <w:tblCellMar>
            <w:top w:w="0" w:type="dxa"/>
            <w:left w:w="108" w:type="dxa"/>
            <w:bottom w:w="0" w:type="dxa"/>
            <w:right w:w="108" w:type="dxa"/>
          </w:tblCellMar>
        </w:tblPrEx>
        <w:trPr>
          <w:trHeight w:val="480" w:hRule="atLeast"/>
        </w:trPr>
        <w:tc>
          <w:tcPr>
            <w:tcW w:w="202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0"/>
                <w:szCs w:val="20"/>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社会效益  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2469" w:type="dxa"/>
            <w:vMerge w:val="continue"/>
            <w:tcBorders>
              <w:left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r>
      <w:tr>
        <w:tblPrEx>
          <w:tblCellMar>
            <w:top w:w="0" w:type="dxa"/>
            <w:left w:w="108" w:type="dxa"/>
            <w:bottom w:w="0" w:type="dxa"/>
            <w:right w:w="108" w:type="dxa"/>
          </w:tblCellMar>
        </w:tblPrEx>
        <w:trPr>
          <w:trHeight w:val="577" w:hRule="atLeast"/>
        </w:trPr>
        <w:tc>
          <w:tcPr>
            <w:tcW w:w="202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0"/>
                <w:szCs w:val="20"/>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ind w:left="383" w:leftChars="87" w:hanging="200" w:hangingChars="100"/>
              <w:jc w:val="left"/>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生态效益  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2469" w:type="dxa"/>
            <w:vMerge w:val="continue"/>
            <w:tcBorders>
              <w:left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r>
      <w:tr>
        <w:trPr>
          <w:trHeight w:val="480" w:hRule="atLeast"/>
        </w:trPr>
        <w:tc>
          <w:tcPr>
            <w:tcW w:w="202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0"/>
                <w:szCs w:val="20"/>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可持续影响 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设计使用年限</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50年</w:t>
            </w:r>
          </w:p>
        </w:tc>
        <w:tc>
          <w:tcPr>
            <w:tcW w:w="2469" w:type="dxa"/>
            <w:vMerge w:val="continue"/>
            <w:tcBorders>
              <w:left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r>
      <w:tr>
        <w:tblPrEx>
          <w:tblCellMar>
            <w:top w:w="0" w:type="dxa"/>
            <w:left w:w="108" w:type="dxa"/>
            <w:bottom w:w="0" w:type="dxa"/>
            <w:right w:w="108" w:type="dxa"/>
          </w:tblCellMar>
        </w:tblPrEx>
        <w:trPr>
          <w:trHeight w:val="530" w:hRule="atLeast"/>
        </w:trPr>
        <w:tc>
          <w:tcPr>
            <w:tcW w:w="2025"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满意</w:t>
            </w:r>
          </w:p>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度指标</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满意度</w:t>
            </w:r>
          </w:p>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师生满意度</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≥80</w:t>
            </w:r>
          </w:p>
        </w:tc>
        <w:tc>
          <w:tcPr>
            <w:tcW w:w="2469" w:type="dxa"/>
            <w:vMerge w:val="continue"/>
            <w:tcBorders>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r>
    </w:tbl>
    <w:p>
      <w:pPr>
        <w:spacing w:line="600" w:lineRule="exact"/>
        <w:jc w:val="center"/>
        <w:rPr>
          <w:rFonts w:ascii="仿宋_GB2312" w:hAnsi="仿宋_GB2312" w:eastAsia="仿宋_GB2312" w:cs="仿宋_GB2312"/>
          <w:sz w:val="20"/>
          <w:szCs w:val="20"/>
        </w:rPr>
      </w:pPr>
    </w:p>
    <w:p>
      <w:r>
        <w:br w:type="page"/>
      </w:r>
    </w:p>
    <w:tbl>
      <w:tblPr>
        <w:tblStyle w:val="13"/>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1534"/>
        <w:gridCol w:w="491"/>
        <w:gridCol w:w="814"/>
        <w:gridCol w:w="356"/>
        <w:gridCol w:w="1675"/>
        <w:gridCol w:w="1218"/>
        <w:gridCol w:w="1146"/>
        <w:gridCol w:w="108"/>
        <w:gridCol w:w="2469"/>
      </w:tblGrid>
      <w:tr>
        <w:tblPrEx>
          <w:tblCellMar>
            <w:top w:w="0" w:type="dxa"/>
            <w:left w:w="108" w:type="dxa"/>
            <w:bottom w:w="0" w:type="dxa"/>
            <w:right w:w="108" w:type="dxa"/>
          </w:tblCellMar>
        </w:tblPrEx>
        <w:trPr>
          <w:trHeight w:val="675" w:hRule="atLeast"/>
        </w:trPr>
        <w:tc>
          <w:tcPr>
            <w:tcW w:w="9811" w:type="dxa"/>
            <w:gridSpan w:val="9"/>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000000"/>
                <w:sz w:val="32"/>
                <w:szCs w:val="32"/>
                <w:u w:val="none"/>
                <w:lang w:val="en-US" w:eastAsia="zh-CN"/>
              </w:rPr>
            </w:pPr>
            <w:r>
              <w:rPr>
                <w:rFonts w:hint="eastAsia" w:ascii="宋体" w:hAnsi="宋体" w:eastAsia="宋体" w:cs="宋体"/>
                <w:b/>
                <w:i w:val="0"/>
                <w:color w:val="000000"/>
                <w:sz w:val="32"/>
                <w:szCs w:val="32"/>
                <w:u w:val="none"/>
                <w:lang w:val="en-US" w:eastAsia="zh-CN"/>
              </w:rPr>
              <w:t>2021年100万元以上（含）特定目标类部门预算项目绩效目标自评</w:t>
            </w:r>
          </w:p>
          <w:p>
            <w:pPr>
              <w:widowControl/>
              <w:jc w:val="center"/>
              <w:textAlignment w:val="center"/>
              <w:rPr>
                <w:rFonts w:hint="eastAsia" w:ascii="宋体" w:hAnsi="宋体" w:eastAsia="宋体" w:cs="宋体"/>
                <w:b/>
                <w:sz w:val="32"/>
                <w:szCs w:val="32"/>
                <w:lang w:val="en-US" w:eastAsia="zh-CN"/>
              </w:rPr>
            </w:pPr>
            <w:r>
              <w:rPr>
                <w:rFonts w:hint="eastAsia" w:ascii="宋体" w:hAnsi="宋体" w:cs="宋体"/>
                <w:b/>
                <w:sz w:val="32"/>
                <w:szCs w:val="32"/>
                <w:lang w:val="en-US" w:eastAsia="zh-CN"/>
              </w:rPr>
              <w:t>(</w:t>
            </w:r>
            <w:r>
              <w:rPr>
                <w:rFonts w:hint="eastAsia" w:ascii="宋体" w:hAnsi="宋体" w:cs="宋体"/>
                <w:b/>
                <w:sz w:val="32"/>
                <w:szCs w:val="32"/>
              </w:rPr>
              <w:t>校企合作专业共建费用项目</w:t>
            </w:r>
            <w:r>
              <w:rPr>
                <w:rFonts w:hint="eastAsia" w:ascii="宋体" w:hAnsi="宋体" w:cs="宋体"/>
                <w:b/>
                <w:sz w:val="32"/>
                <w:szCs w:val="32"/>
                <w:lang w:val="en-US" w:eastAsia="zh-CN"/>
              </w:rPr>
              <w:t>)</w:t>
            </w:r>
          </w:p>
        </w:tc>
      </w:tr>
      <w:tr>
        <w:tblPrEx>
          <w:tblCellMar>
            <w:top w:w="0" w:type="dxa"/>
            <w:left w:w="108" w:type="dxa"/>
            <w:bottom w:w="0" w:type="dxa"/>
            <w:right w:w="108" w:type="dxa"/>
          </w:tblCellMar>
        </w:tblPrEx>
        <w:trPr>
          <w:trHeight w:val="254" w:hRule="atLeast"/>
        </w:trPr>
        <w:tc>
          <w:tcPr>
            <w:tcW w:w="28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rPr>
              <w:t>主管部门及代码</w:t>
            </w:r>
          </w:p>
        </w:tc>
        <w:tc>
          <w:tcPr>
            <w:tcW w:w="3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rPr>
              <w:t>四川省商务厅</w:t>
            </w:r>
            <w:r>
              <w:rPr>
                <w:rFonts w:hint="eastAsia" w:ascii="仿宋_GB2312" w:hAnsi="仿宋_GB2312" w:eastAsia="仿宋_GB2312" w:cs="仿宋_GB2312"/>
                <w:sz w:val="20"/>
                <w:szCs w:val="20"/>
                <w:lang w:val="en-US" w:eastAsia="zh-CN"/>
              </w:rPr>
              <w:t>322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rPr>
              <w:t>实施单位</w:t>
            </w:r>
          </w:p>
        </w:tc>
        <w:tc>
          <w:tcPr>
            <w:tcW w:w="25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四川商务职业学院</w:t>
            </w:r>
          </w:p>
        </w:tc>
      </w:tr>
      <w:tr>
        <w:tblPrEx>
          <w:tblCellMar>
            <w:top w:w="0" w:type="dxa"/>
            <w:left w:w="108" w:type="dxa"/>
            <w:bottom w:w="0" w:type="dxa"/>
            <w:right w:w="108" w:type="dxa"/>
          </w:tblCellMar>
        </w:tblPrEx>
        <w:trPr>
          <w:trHeight w:val="341" w:hRule="atLeast"/>
        </w:trPr>
        <w:tc>
          <w:tcPr>
            <w:tcW w:w="283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项目预算</w:t>
            </w:r>
          </w:p>
          <w:p>
            <w:pPr>
              <w:widowControl/>
              <w:spacing w:line="320" w:lineRule="exact"/>
              <w:jc w:val="center"/>
              <w:textAlignment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执行情况</w:t>
            </w:r>
          </w:p>
          <w:p>
            <w:pPr>
              <w:widowControl/>
              <w:spacing w:line="320" w:lineRule="exact"/>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rPr>
              <w:t>（万元）</w:t>
            </w:r>
          </w:p>
        </w:tc>
        <w:tc>
          <w:tcPr>
            <w:tcW w:w="20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rPr>
              <w:t xml:space="preserve"> 预算数：</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240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rPr>
              <w:t xml:space="preserve"> 执行数：</w:t>
            </w:r>
          </w:p>
        </w:tc>
        <w:tc>
          <w:tcPr>
            <w:tcW w:w="25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134.2</w:t>
            </w:r>
          </w:p>
        </w:tc>
      </w:tr>
      <w:tr>
        <w:tblPrEx>
          <w:tblCellMar>
            <w:top w:w="0" w:type="dxa"/>
            <w:left w:w="108" w:type="dxa"/>
            <w:bottom w:w="0" w:type="dxa"/>
            <w:right w:w="108" w:type="dxa"/>
          </w:tblCellMar>
        </w:tblPrEx>
        <w:trPr>
          <w:trHeight w:val="555" w:hRule="atLeast"/>
        </w:trPr>
        <w:tc>
          <w:tcPr>
            <w:tcW w:w="283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0"/>
                <w:szCs w:val="20"/>
              </w:rPr>
            </w:pPr>
          </w:p>
        </w:tc>
        <w:tc>
          <w:tcPr>
            <w:tcW w:w="20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其中：</w:t>
            </w:r>
          </w:p>
          <w:p>
            <w:pPr>
              <w:widowControl/>
              <w:spacing w:line="320" w:lineRule="exact"/>
              <w:jc w:val="left"/>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rPr>
              <w:t>财政拨款</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240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其中：</w:t>
            </w:r>
          </w:p>
          <w:p>
            <w:pPr>
              <w:widowControl/>
              <w:spacing w:line="320" w:lineRule="exact"/>
              <w:jc w:val="left"/>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rPr>
              <w:t>财政拨款</w:t>
            </w:r>
          </w:p>
        </w:tc>
        <w:tc>
          <w:tcPr>
            <w:tcW w:w="25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134.2</w:t>
            </w:r>
          </w:p>
        </w:tc>
      </w:tr>
      <w:tr>
        <w:tblPrEx>
          <w:tblCellMar>
            <w:top w:w="0" w:type="dxa"/>
            <w:left w:w="108" w:type="dxa"/>
            <w:bottom w:w="0" w:type="dxa"/>
            <w:right w:w="108" w:type="dxa"/>
          </w:tblCellMar>
        </w:tblPrEx>
        <w:trPr>
          <w:trHeight w:val="341" w:hRule="atLeast"/>
        </w:trPr>
        <w:tc>
          <w:tcPr>
            <w:tcW w:w="283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0"/>
                <w:szCs w:val="20"/>
              </w:rPr>
            </w:pPr>
          </w:p>
        </w:tc>
        <w:tc>
          <w:tcPr>
            <w:tcW w:w="20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rPr>
              <w:t>其他资金</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仿宋_GB2312" w:hAnsi="仿宋_GB2312" w:eastAsia="仿宋_GB2312" w:cs="仿宋_GB2312"/>
                <w:sz w:val="20"/>
                <w:szCs w:val="20"/>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rPr>
              <w:t>其他资金</w:t>
            </w:r>
          </w:p>
        </w:tc>
        <w:tc>
          <w:tcPr>
            <w:tcW w:w="25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0"/>
                <w:szCs w:val="20"/>
              </w:rPr>
            </w:pPr>
          </w:p>
        </w:tc>
      </w:tr>
      <w:tr>
        <w:tblPrEx>
          <w:tblCellMar>
            <w:top w:w="0" w:type="dxa"/>
            <w:left w:w="108" w:type="dxa"/>
            <w:bottom w:w="0" w:type="dxa"/>
            <w:right w:w="108" w:type="dxa"/>
          </w:tblCellMar>
        </w:tblPrEx>
        <w:trPr>
          <w:trHeight w:val="217" w:hRule="atLeast"/>
        </w:trPr>
        <w:tc>
          <w:tcPr>
            <w:tcW w:w="15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年度总体目标</w:t>
            </w:r>
          </w:p>
          <w:p>
            <w:pPr>
              <w:widowControl/>
              <w:spacing w:line="320" w:lineRule="exact"/>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rPr>
              <w:t>完成情况</w:t>
            </w:r>
          </w:p>
        </w:tc>
        <w:tc>
          <w:tcPr>
            <w:tcW w:w="45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rPr>
              <w:t>预期目标</w:t>
            </w:r>
          </w:p>
        </w:tc>
        <w:tc>
          <w:tcPr>
            <w:tcW w:w="3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rPr>
              <w:t>目标实际完成情况</w:t>
            </w:r>
          </w:p>
        </w:tc>
      </w:tr>
      <w:tr>
        <w:tblPrEx>
          <w:tblCellMar>
            <w:top w:w="0" w:type="dxa"/>
            <w:left w:w="108" w:type="dxa"/>
            <w:bottom w:w="0" w:type="dxa"/>
            <w:right w:w="108" w:type="dxa"/>
          </w:tblCellMar>
        </w:tblPrEx>
        <w:trPr>
          <w:trHeight w:val="3752" w:hRule="atLeast"/>
        </w:trPr>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0"/>
                <w:szCs w:val="20"/>
              </w:rPr>
            </w:pPr>
          </w:p>
        </w:tc>
        <w:tc>
          <w:tcPr>
            <w:tcW w:w="4554" w:type="dxa"/>
            <w:gridSpan w:val="5"/>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学院应用技术系两个年级4个专业共计1104名专科学生与北大青鸟合作共建专业，设计艺术系两个专业267名大学专科生与完美世界合作共建专业。根据川府发【2020】14号文精神，校企共建班经费由学院生均拨款安排资金解决。本专项经费可以解决我院连个系部6个专业，共计1371名共建专业学生完成学业以及专业技能拓展、就业技能提升及就业后顾之忧。为解决因国家政策变化带来的1000余名学生及家长的遗留问题，为社会稳定提供保障。</w:t>
            </w:r>
          </w:p>
        </w:tc>
        <w:tc>
          <w:tcPr>
            <w:tcW w:w="3723"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根据合同，企业继续向学院2019级共建专业全体学生，2020级共建专业全体学生提供专业建设、教学管理等服务工作。2019级共建专业人数确认为480人，服务时间为第三学年度，购买服务费用标准为2500元/生.学年；2020级共建专业人数确认为424人，服务时间为第二、三学年度，费用标准为第二学年3500元/生.学年，第三学年2500元/生.学年。2021年度实际支付费用，2019级60万元，2020级74.20万元，总计134.20万元</w:t>
            </w:r>
          </w:p>
        </w:tc>
      </w:tr>
      <w:tr>
        <w:tblPrEx>
          <w:tblCellMar>
            <w:top w:w="0" w:type="dxa"/>
            <w:left w:w="108" w:type="dxa"/>
            <w:bottom w:w="0" w:type="dxa"/>
            <w:right w:w="108" w:type="dxa"/>
          </w:tblCellMar>
        </w:tblPrEx>
        <w:trPr>
          <w:trHeight w:val="693" w:hRule="atLeast"/>
        </w:trPr>
        <w:tc>
          <w:tcPr>
            <w:tcW w:w="1534"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rPr>
              <w:t>年度绩效指标完成情况</w:t>
            </w:r>
          </w:p>
        </w:tc>
        <w:tc>
          <w:tcPr>
            <w:tcW w:w="1305" w:type="dxa"/>
            <w:gridSpan w:val="2"/>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一级</w:t>
            </w:r>
          </w:p>
          <w:p>
            <w:pPr>
              <w:widowControl/>
              <w:spacing w:line="320" w:lineRule="exact"/>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20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二级</w:t>
            </w:r>
          </w:p>
          <w:p>
            <w:pPr>
              <w:widowControl/>
              <w:spacing w:line="320" w:lineRule="exact"/>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三级</w:t>
            </w:r>
          </w:p>
          <w:p>
            <w:pPr>
              <w:widowControl/>
              <w:spacing w:line="320" w:lineRule="exact"/>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rPr>
              <w:t>预期指标值</w:t>
            </w:r>
          </w:p>
        </w:tc>
        <w:tc>
          <w:tcPr>
            <w:tcW w:w="25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rPr>
              <w:t>实际完成指标值</w:t>
            </w:r>
          </w:p>
        </w:tc>
      </w:tr>
      <w:tr>
        <w:tblPrEx>
          <w:tblCellMar>
            <w:top w:w="0" w:type="dxa"/>
            <w:left w:w="108" w:type="dxa"/>
            <w:bottom w:w="0" w:type="dxa"/>
            <w:right w:w="108" w:type="dxa"/>
          </w:tblCellMar>
        </w:tblPrEx>
        <w:trPr>
          <w:trHeight w:val="415" w:hRule="atLeast"/>
        </w:trPr>
        <w:tc>
          <w:tcPr>
            <w:tcW w:w="1534"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0"/>
                <w:szCs w:val="20"/>
              </w:rPr>
            </w:pPr>
          </w:p>
        </w:tc>
        <w:tc>
          <w:tcPr>
            <w:tcW w:w="130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完成</w:t>
            </w:r>
          </w:p>
          <w:p>
            <w:pPr>
              <w:widowControl/>
              <w:spacing w:line="320" w:lineRule="exact"/>
              <w:jc w:val="center"/>
              <w:textAlignment w:val="bottom"/>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203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rPr>
              <w:t>数量指标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北大青鸟合作班学生人次*单价</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1104*1600</w:t>
            </w:r>
          </w:p>
        </w:tc>
        <w:tc>
          <w:tcPr>
            <w:tcW w:w="257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2019级，480*2500/2=60万元</w:t>
            </w:r>
          </w:p>
          <w:p>
            <w:pPr>
              <w:widowControl/>
              <w:spacing w:line="320" w:lineRule="exact"/>
              <w:jc w:val="center"/>
              <w:textAlignment w:val="bottom"/>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2020级，424*3500/2=74.20万元</w:t>
            </w:r>
          </w:p>
        </w:tc>
      </w:tr>
      <w:tr>
        <w:tblPrEx>
          <w:tblCellMar>
            <w:top w:w="0" w:type="dxa"/>
            <w:left w:w="108" w:type="dxa"/>
            <w:bottom w:w="0" w:type="dxa"/>
            <w:right w:w="108" w:type="dxa"/>
          </w:tblCellMar>
        </w:tblPrEx>
        <w:trPr>
          <w:trHeight w:val="415" w:hRule="atLeast"/>
        </w:trPr>
        <w:tc>
          <w:tcPr>
            <w:tcW w:w="1534"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0"/>
                <w:szCs w:val="20"/>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hint="eastAsia" w:ascii="仿宋_GB2312" w:hAnsi="仿宋_GB2312" w:eastAsia="仿宋_GB2312" w:cs="仿宋_GB2312"/>
                <w:sz w:val="20"/>
                <w:szCs w:val="20"/>
              </w:rPr>
            </w:pPr>
          </w:p>
        </w:tc>
        <w:tc>
          <w:tcPr>
            <w:tcW w:w="203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rPr>
              <w:t>质量指标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教学成果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良好</w:t>
            </w:r>
          </w:p>
        </w:tc>
        <w:tc>
          <w:tcPr>
            <w:tcW w:w="257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良好</w:t>
            </w:r>
          </w:p>
        </w:tc>
      </w:tr>
      <w:tr>
        <w:tblPrEx>
          <w:tblCellMar>
            <w:top w:w="0" w:type="dxa"/>
            <w:left w:w="108" w:type="dxa"/>
            <w:bottom w:w="0" w:type="dxa"/>
            <w:right w:w="108" w:type="dxa"/>
          </w:tblCellMar>
        </w:tblPrEx>
        <w:trPr>
          <w:trHeight w:val="415" w:hRule="atLeast"/>
        </w:trPr>
        <w:tc>
          <w:tcPr>
            <w:tcW w:w="1534"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0"/>
                <w:szCs w:val="20"/>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hint="eastAsia" w:ascii="仿宋_GB2312" w:hAnsi="仿宋_GB2312" w:eastAsia="仿宋_GB2312" w:cs="仿宋_GB2312"/>
                <w:sz w:val="20"/>
                <w:szCs w:val="20"/>
              </w:rPr>
            </w:pPr>
          </w:p>
        </w:tc>
        <w:tc>
          <w:tcPr>
            <w:tcW w:w="203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rPr>
              <w:t>时效指标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完成时间</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学年制</w:t>
            </w:r>
          </w:p>
        </w:tc>
        <w:tc>
          <w:tcPr>
            <w:tcW w:w="257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学年制</w:t>
            </w:r>
          </w:p>
        </w:tc>
      </w:tr>
      <w:tr>
        <w:tblPrEx>
          <w:tblCellMar>
            <w:top w:w="0" w:type="dxa"/>
            <w:left w:w="108" w:type="dxa"/>
            <w:bottom w:w="0" w:type="dxa"/>
            <w:right w:w="108" w:type="dxa"/>
          </w:tblCellMar>
        </w:tblPrEx>
        <w:trPr>
          <w:trHeight w:val="480" w:hRule="atLeast"/>
        </w:trPr>
        <w:tc>
          <w:tcPr>
            <w:tcW w:w="1534"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0"/>
                <w:szCs w:val="20"/>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hint="eastAsia" w:ascii="仿宋_GB2312" w:hAnsi="仿宋_GB2312" w:eastAsia="仿宋_GB2312" w:cs="仿宋_GB2312"/>
                <w:sz w:val="20"/>
                <w:szCs w:val="20"/>
              </w:rPr>
            </w:pPr>
          </w:p>
        </w:tc>
        <w:tc>
          <w:tcPr>
            <w:tcW w:w="203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rPr>
              <w:t>成本指标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p>
        </w:tc>
        <w:tc>
          <w:tcPr>
            <w:tcW w:w="257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p>
        </w:tc>
      </w:tr>
      <w:tr>
        <w:tblPrEx>
          <w:tblCellMar>
            <w:top w:w="0" w:type="dxa"/>
            <w:left w:w="108" w:type="dxa"/>
            <w:bottom w:w="0" w:type="dxa"/>
            <w:right w:w="108" w:type="dxa"/>
          </w:tblCellMar>
        </w:tblPrEx>
        <w:trPr>
          <w:trHeight w:val="480" w:hRule="atLeast"/>
        </w:trPr>
        <w:tc>
          <w:tcPr>
            <w:tcW w:w="1534"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0"/>
                <w:szCs w:val="20"/>
              </w:rPr>
            </w:pPr>
          </w:p>
        </w:tc>
        <w:tc>
          <w:tcPr>
            <w:tcW w:w="130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效益</w:t>
            </w:r>
          </w:p>
          <w:p>
            <w:pPr>
              <w:widowControl/>
              <w:spacing w:line="320" w:lineRule="exact"/>
              <w:jc w:val="center"/>
              <w:textAlignment w:val="bottom"/>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203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rPr>
              <w:t>经济效益  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参与企业建设</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深度参与</w:t>
            </w:r>
          </w:p>
        </w:tc>
        <w:tc>
          <w:tcPr>
            <w:tcW w:w="257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深度参与</w:t>
            </w:r>
          </w:p>
        </w:tc>
      </w:tr>
      <w:tr>
        <w:tblPrEx>
          <w:tblCellMar>
            <w:top w:w="0" w:type="dxa"/>
            <w:left w:w="108" w:type="dxa"/>
            <w:bottom w:w="0" w:type="dxa"/>
            <w:right w:w="108" w:type="dxa"/>
          </w:tblCellMar>
        </w:tblPrEx>
        <w:trPr>
          <w:trHeight w:val="480" w:hRule="atLeast"/>
        </w:trPr>
        <w:tc>
          <w:tcPr>
            <w:tcW w:w="1534"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0"/>
                <w:szCs w:val="20"/>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hint="eastAsia" w:ascii="仿宋_GB2312" w:hAnsi="仿宋_GB2312" w:eastAsia="仿宋_GB2312" w:cs="仿宋_GB2312"/>
                <w:sz w:val="20"/>
                <w:szCs w:val="20"/>
              </w:rPr>
            </w:pPr>
          </w:p>
        </w:tc>
        <w:tc>
          <w:tcPr>
            <w:tcW w:w="203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rPr>
              <w:t>社会效益  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客户认可度</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良好</w:t>
            </w:r>
          </w:p>
        </w:tc>
        <w:tc>
          <w:tcPr>
            <w:tcW w:w="257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良好</w:t>
            </w:r>
          </w:p>
        </w:tc>
      </w:tr>
      <w:tr>
        <w:tblPrEx>
          <w:tblCellMar>
            <w:top w:w="0" w:type="dxa"/>
            <w:left w:w="108" w:type="dxa"/>
            <w:bottom w:w="0" w:type="dxa"/>
            <w:right w:w="108" w:type="dxa"/>
          </w:tblCellMar>
        </w:tblPrEx>
        <w:trPr>
          <w:trHeight w:val="577" w:hRule="atLeast"/>
        </w:trPr>
        <w:tc>
          <w:tcPr>
            <w:tcW w:w="1534"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0"/>
                <w:szCs w:val="20"/>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hint="eastAsia" w:ascii="仿宋_GB2312" w:hAnsi="仿宋_GB2312" w:eastAsia="仿宋_GB2312" w:cs="仿宋_GB2312"/>
                <w:sz w:val="20"/>
                <w:szCs w:val="20"/>
              </w:rPr>
            </w:pPr>
          </w:p>
        </w:tc>
        <w:tc>
          <w:tcPr>
            <w:tcW w:w="203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ind w:left="383" w:leftChars="87" w:hanging="200" w:hangingChars="100"/>
              <w:jc w:val="left"/>
              <w:textAlignment w:val="bottom"/>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rPr>
              <w:t>生态效益  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p>
        </w:tc>
        <w:tc>
          <w:tcPr>
            <w:tcW w:w="257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p>
        </w:tc>
      </w:tr>
      <w:tr>
        <w:tblPrEx>
          <w:tblCellMar>
            <w:top w:w="0" w:type="dxa"/>
            <w:left w:w="108" w:type="dxa"/>
            <w:bottom w:w="0" w:type="dxa"/>
            <w:right w:w="108" w:type="dxa"/>
          </w:tblCellMar>
        </w:tblPrEx>
        <w:trPr>
          <w:trHeight w:val="480" w:hRule="atLeast"/>
        </w:trPr>
        <w:tc>
          <w:tcPr>
            <w:tcW w:w="1534"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0"/>
                <w:szCs w:val="20"/>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hint="eastAsia" w:ascii="仿宋_GB2312" w:hAnsi="仿宋_GB2312" w:eastAsia="仿宋_GB2312" w:cs="仿宋_GB2312"/>
                <w:sz w:val="20"/>
                <w:szCs w:val="20"/>
              </w:rPr>
            </w:pPr>
          </w:p>
        </w:tc>
        <w:tc>
          <w:tcPr>
            <w:tcW w:w="203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rPr>
              <w:t>可持续影响 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p>
        </w:tc>
        <w:tc>
          <w:tcPr>
            <w:tcW w:w="257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p>
        </w:tc>
      </w:tr>
      <w:tr>
        <w:tblPrEx>
          <w:tblCellMar>
            <w:top w:w="0" w:type="dxa"/>
            <w:left w:w="108" w:type="dxa"/>
            <w:bottom w:w="0" w:type="dxa"/>
            <w:right w:w="108" w:type="dxa"/>
          </w:tblCellMar>
        </w:tblPrEx>
        <w:trPr>
          <w:trHeight w:val="530" w:hRule="atLeast"/>
        </w:trPr>
        <w:tc>
          <w:tcPr>
            <w:tcW w:w="1534"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0"/>
                <w:szCs w:val="20"/>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满意</w:t>
            </w:r>
          </w:p>
          <w:p>
            <w:pPr>
              <w:widowControl/>
              <w:spacing w:line="320" w:lineRule="exact"/>
              <w:jc w:val="center"/>
              <w:textAlignment w:val="bottom"/>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rPr>
              <w:t>度指标</w:t>
            </w:r>
          </w:p>
        </w:tc>
        <w:tc>
          <w:tcPr>
            <w:tcW w:w="203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满意度</w:t>
            </w:r>
          </w:p>
          <w:p>
            <w:pPr>
              <w:widowControl/>
              <w:spacing w:line="320" w:lineRule="exact"/>
              <w:jc w:val="center"/>
              <w:textAlignment w:val="bottom"/>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学生满意度</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≥85</w:t>
            </w:r>
          </w:p>
        </w:tc>
        <w:tc>
          <w:tcPr>
            <w:tcW w:w="257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≥85</w:t>
            </w:r>
          </w:p>
        </w:tc>
      </w:tr>
      <w:tr>
        <w:tblPrEx>
          <w:tblCellMar>
            <w:top w:w="0" w:type="dxa"/>
            <w:left w:w="108" w:type="dxa"/>
            <w:bottom w:w="0" w:type="dxa"/>
            <w:right w:w="108" w:type="dxa"/>
          </w:tblCellMar>
        </w:tblPrEx>
        <w:trPr>
          <w:trHeight w:val="675" w:hRule="atLeast"/>
        </w:trPr>
        <w:tc>
          <w:tcPr>
            <w:tcW w:w="9811" w:type="dxa"/>
            <w:gridSpan w:val="9"/>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000000"/>
                <w:sz w:val="32"/>
                <w:szCs w:val="32"/>
                <w:u w:val="none"/>
                <w:lang w:val="en-US" w:eastAsia="zh-CN"/>
              </w:rPr>
            </w:pPr>
            <w:r>
              <w:rPr>
                <w:rFonts w:hint="eastAsia" w:ascii="宋体" w:hAnsi="宋体" w:eastAsia="宋体" w:cs="宋体"/>
                <w:b/>
                <w:i w:val="0"/>
                <w:color w:val="000000"/>
                <w:sz w:val="32"/>
                <w:szCs w:val="32"/>
                <w:u w:val="none"/>
                <w:lang w:val="en-US" w:eastAsia="zh-CN"/>
              </w:rPr>
              <w:t>2021年100万元以上（含）特定目标类部门预算项目绩效目标自评</w:t>
            </w:r>
          </w:p>
          <w:p>
            <w:pPr>
              <w:widowControl/>
              <w:jc w:val="center"/>
              <w:textAlignment w:val="center"/>
              <w:rPr>
                <w:rFonts w:hint="eastAsia" w:ascii="宋体" w:hAnsi="宋体" w:eastAsia="宋体" w:cs="宋体"/>
                <w:b/>
                <w:sz w:val="32"/>
                <w:szCs w:val="32"/>
                <w:lang w:val="en-US" w:eastAsia="zh-CN"/>
              </w:rPr>
            </w:pPr>
            <w:r>
              <w:rPr>
                <w:rFonts w:hint="eastAsia" w:ascii="宋体" w:hAnsi="宋体" w:cs="宋体"/>
                <w:b/>
                <w:sz w:val="32"/>
                <w:szCs w:val="32"/>
                <w:lang w:val="en-US" w:eastAsia="zh-CN"/>
              </w:rPr>
              <w:t>(</w:t>
            </w:r>
            <w:r>
              <w:rPr>
                <w:rFonts w:hint="eastAsia" w:ascii="宋体" w:hAnsi="宋体" w:cs="宋体"/>
                <w:b/>
                <w:sz w:val="32"/>
                <w:szCs w:val="32"/>
              </w:rPr>
              <w:t>深度贫困县人才振兴工程项目</w:t>
            </w:r>
            <w:r>
              <w:rPr>
                <w:rFonts w:hint="eastAsia" w:ascii="宋体" w:hAnsi="宋体" w:cs="宋体"/>
                <w:b/>
                <w:sz w:val="32"/>
                <w:szCs w:val="32"/>
                <w:lang w:val="en-US" w:eastAsia="zh-CN"/>
              </w:rPr>
              <w:t>)</w:t>
            </w:r>
          </w:p>
        </w:tc>
      </w:tr>
      <w:tr>
        <w:tblPrEx>
          <w:tblCellMar>
            <w:top w:w="0" w:type="dxa"/>
            <w:left w:w="108" w:type="dxa"/>
            <w:bottom w:w="0" w:type="dxa"/>
            <w:right w:w="108" w:type="dxa"/>
          </w:tblCellMar>
        </w:tblPrEx>
        <w:trPr>
          <w:trHeight w:val="254" w:hRule="atLeast"/>
        </w:trPr>
        <w:tc>
          <w:tcPr>
            <w:tcW w:w="31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rPr>
              <w:t>主管部门及代码</w:t>
            </w:r>
          </w:p>
        </w:tc>
        <w:tc>
          <w:tcPr>
            <w:tcW w:w="2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rPr>
              <w:t>四川省商务厅</w:t>
            </w:r>
            <w:r>
              <w:rPr>
                <w:rFonts w:hint="eastAsia" w:ascii="仿宋_GB2312" w:hAnsi="仿宋_GB2312" w:eastAsia="仿宋_GB2312" w:cs="仿宋_GB2312"/>
                <w:sz w:val="20"/>
                <w:szCs w:val="20"/>
                <w:lang w:val="en-US" w:eastAsia="zh-CN"/>
              </w:rPr>
              <w:t>322</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rPr>
              <w:t>实施单位</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四川商务职业学院</w:t>
            </w:r>
          </w:p>
        </w:tc>
      </w:tr>
      <w:tr>
        <w:tblPrEx>
          <w:tblCellMar>
            <w:top w:w="0" w:type="dxa"/>
            <w:left w:w="108" w:type="dxa"/>
            <w:bottom w:w="0" w:type="dxa"/>
            <w:right w:w="108" w:type="dxa"/>
          </w:tblCellMar>
        </w:tblPrEx>
        <w:trPr>
          <w:trHeight w:val="341" w:hRule="atLeast"/>
        </w:trPr>
        <w:tc>
          <w:tcPr>
            <w:tcW w:w="319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项目预算</w:t>
            </w:r>
          </w:p>
          <w:p>
            <w:pPr>
              <w:widowControl/>
              <w:spacing w:line="320" w:lineRule="exact"/>
              <w:jc w:val="center"/>
              <w:textAlignment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执行情况</w:t>
            </w:r>
          </w:p>
          <w:p>
            <w:pPr>
              <w:widowControl/>
              <w:spacing w:line="320" w:lineRule="exact"/>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rPr>
              <w:t>（万元）</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rPr>
              <w:t xml:space="preserve"> 预算数：</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100</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rPr>
              <w:t xml:space="preserve"> 执行数：</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60.16</w:t>
            </w:r>
          </w:p>
        </w:tc>
      </w:tr>
      <w:tr>
        <w:tblPrEx>
          <w:tblCellMar>
            <w:top w:w="0" w:type="dxa"/>
            <w:left w:w="108" w:type="dxa"/>
            <w:bottom w:w="0" w:type="dxa"/>
            <w:right w:w="108" w:type="dxa"/>
          </w:tblCellMar>
        </w:tblPrEx>
        <w:trPr>
          <w:trHeight w:val="555" w:hRule="atLeast"/>
        </w:trPr>
        <w:tc>
          <w:tcPr>
            <w:tcW w:w="319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0"/>
                <w:szCs w:val="20"/>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其中：</w:t>
            </w:r>
          </w:p>
          <w:p>
            <w:pPr>
              <w:widowControl/>
              <w:spacing w:line="320" w:lineRule="exact"/>
              <w:jc w:val="left"/>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rPr>
              <w:t>财政拨款</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100</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其中：</w:t>
            </w:r>
          </w:p>
          <w:p>
            <w:pPr>
              <w:widowControl/>
              <w:spacing w:line="320" w:lineRule="exact"/>
              <w:jc w:val="left"/>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rPr>
              <w:t>财政拨款</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60.16</w:t>
            </w:r>
          </w:p>
        </w:tc>
      </w:tr>
      <w:tr>
        <w:tblPrEx>
          <w:tblCellMar>
            <w:top w:w="0" w:type="dxa"/>
            <w:left w:w="108" w:type="dxa"/>
            <w:bottom w:w="0" w:type="dxa"/>
            <w:right w:w="108" w:type="dxa"/>
          </w:tblCellMar>
        </w:tblPrEx>
        <w:trPr>
          <w:trHeight w:val="341" w:hRule="atLeast"/>
        </w:trPr>
        <w:tc>
          <w:tcPr>
            <w:tcW w:w="319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0"/>
                <w:szCs w:val="20"/>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rPr>
              <w:t>其他资金</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仿宋_GB2312" w:hAnsi="仿宋_GB2312" w:eastAsia="仿宋_GB2312" w:cs="仿宋_GB2312"/>
                <w:sz w:val="20"/>
                <w:szCs w:val="20"/>
              </w:rPr>
            </w:pP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rPr>
              <w:t>其他资金</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0"/>
                <w:szCs w:val="20"/>
              </w:rPr>
            </w:pPr>
          </w:p>
        </w:tc>
      </w:tr>
      <w:tr>
        <w:tblPrEx>
          <w:tblCellMar>
            <w:top w:w="0" w:type="dxa"/>
            <w:left w:w="108" w:type="dxa"/>
            <w:bottom w:w="0" w:type="dxa"/>
            <w:right w:w="108" w:type="dxa"/>
          </w:tblCellMar>
        </w:tblPrEx>
        <w:trPr>
          <w:trHeight w:val="217" w:hRule="atLeast"/>
        </w:trPr>
        <w:tc>
          <w:tcPr>
            <w:tcW w:w="20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年度总体目标</w:t>
            </w:r>
          </w:p>
          <w:p>
            <w:pPr>
              <w:widowControl/>
              <w:spacing w:line="320" w:lineRule="exact"/>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rPr>
              <w:t>完成情况</w:t>
            </w:r>
          </w:p>
        </w:tc>
        <w:tc>
          <w:tcPr>
            <w:tcW w:w="40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rPr>
              <w:t>预期目标</w:t>
            </w:r>
          </w:p>
        </w:tc>
        <w:tc>
          <w:tcPr>
            <w:tcW w:w="3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rPr>
              <w:t>目标实际完成情况</w:t>
            </w:r>
          </w:p>
        </w:tc>
      </w:tr>
      <w:tr>
        <w:tblPrEx>
          <w:tblCellMar>
            <w:top w:w="0" w:type="dxa"/>
            <w:left w:w="108" w:type="dxa"/>
            <w:bottom w:w="0" w:type="dxa"/>
            <w:right w:w="108" w:type="dxa"/>
          </w:tblCellMar>
        </w:tblPrEx>
        <w:trPr>
          <w:trHeight w:val="797" w:hRule="atLeast"/>
        </w:trPr>
        <w:tc>
          <w:tcPr>
            <w:tcW w:w="20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0"/>
                <w:szCs w:val="20"/>
              </w:rPr>
            </w:pPr>
          </w:p>
        </w:tc>
        <w:tc>
          <w:tcPr>
            <w:tcW w:w="4063" w:type="dxa"/>
            <w:gridSpan w:val="4"/>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支持现有三个年纪三个班次67人次及2021年度新招生的深度扶贫地区的彝区、藏区学生完成学业的所需要的生活费、培养费保障，形成学生核心职业技能素养。</w:t>
            </w:r>
          </w:p>
          <w:p>
            <w:pPr>
              <w:pStyle w:val="2"/>
              <w:spacing w:before="93"/>
              <w:rPr>
                <w:rFonts w:hint="eastAsia" w:ascii="仿宋_GB2312" w:hAnsi="仿宋_GB2312" w:eastAsia="仿宋_GB2312" w:cs="仿宋_GB2312"/>
                <w:sz w:val="20"/>
                <w:szCs w:val="20"/>
              </w:rPr>
            </w:pPr>
          </w:p>
          <w:p>
            <w:pPr>
              <w:pStyle w:val="2"/>
              <w:spacing w:before="93"/>
              <w:rPr>
                <w:rFonts w:hint="eastAsia" w:ascii="仿宋_GB2312" w:hAnsi="仿宋_GB2312" w:eastAsia="仿宋_GB2312" w:cs="仿宋_GB2312"/>
                <w:sz w:val="20"/>
                <w:szCs w:val="20"/>
              </w:rPr>
            </w:pPr>
          </w:p>
        </w:tc>
        <w:tc>
          <w:tcPr>
            <w:tcW w:w="3723"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支持现有三个年纪三个班次67人次及2021年度新招生的深度扶贫地区的彝区、藏区学生完成学业的所需要的生活费、培养费保障，形成学生核心职业技能素养。</w:t>
            </w:r>
          </w:p>
        </w:tc>
      </w:tr>
      <w:tr>
        <w:tblPrEx>
          <w:tblCellMar>
            <w:top w:w="0" w:type="dxa"/>
            <w:left w:w="108" w:type="dxa"/>
            <w:bottom w:w="0" w:type="dxa"/>
            <w:right w:w="108" w:type="dxa"/>
          </w:tblCellMar>
        </w:tblPrEx>
        <w:trPr>
          <w:trHeight w:val="693" w:hRule="atLeast"/>
        </w:trPr>
        <w:tc>
          <w:tcPr>
            <w:tcW w:w="2025" w:type="dxa"/>
            <w:gridSpan w:val="2"/>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rPr>
              <w:t>年度绩效指标完成情况</w:t>
            </w:r>
          </w:p>
        </w:tc>
        <w:tc>
          <w:tcPr>
            <w:tcW w:w="1170" w:type="dxa"/>
            <w:gridSpan w:val="2"/>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一级</w:t>
            </w:r>
          </w:p>
          <w:p>
            <w:pPr>
              <w:widowControl/>
              <w:spacing w:line="320" w:lineRule="exact"/>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二级</w:t>
            </w:r>
          </w:p>
          <w:p>
            <w:pPr>
              <w:widowControl/>
              <w:spacing w:line="320" w:lineRule="exact"/>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三级</w:t>
            </w:r>
          </w:p>
          <w:p>
            <w:pPr>
              <w:widowControl/>
              <w:spacing w:line="320" w:lineRule="exact"/>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rPr>
              <w:t>预期指标值</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rPr>
              <w:t>实际完成指标值</w:t>
            </w:r>
          </w:p>
        </w:tc>
      </w:tr>
      <w:tr>
        <w:tblPrEx>
          <w:tblCellMar>
            <w:top w:w="0" w:type="dxa"/>
            <w:left w:w="108" w:type="dxa"/>
            <w:bottom w:w="0" w:type="dxa"/>
            <w:right w:w="108" w:type="dxa"/>
          </w:tblCellMar>
        </w:tblPrEx>
        <w:trPr>
          <w:trHeight w:val="415" w:hRule="atLeast"/>
        </w:trPr>
        <w:tc>
          <w:tcPr>
            <w:tcW w:w="2025" w:type="dxa"/>
            <w:gridSpan w:val="2"/>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0"/>
                <w:szCs w:val="20"/>
              </w:rPr>
            </w:pPr>
          </w:p>
        </w:tc>
        <w:tc>
          <w:tcPr>
            <w:tcW w:w="11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完成</w:t>
            </w:r>
          </w:p>
          <w:p>
            <w:pPr>
              <w:widowControl/>
              <w:spacing w:line="320" w:lineRule="exact"/>
              <w:jc w:val="center"/>
              <w:textAlignment w:val="bottom"/>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675" w:type="dxa"/>
            <w:vMerge w:val="restart"/>
            <w:tcBorders>
              <w:top w:val="single" w:color="000000" w:sz="4" w:space="0"/>
              <w:left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rPr>
              <w:t>数量指标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现在人数</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67</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53</w:t>
            </w:r>
          </w:p>
        </w:tc>
      </w:tr>
      <w:tr>
        <w:tblPrEx>
          <w:tblCellMar>
            <w:top w:w="0" w:type="dxa"/>
            <w:left w:w="108" w:type="dxa"/>
            <w:bottom w:w="0" w:type="dxa"/>
            <w:right w:w="108" w:type="dxa"/>
          </w:tblCellMar>
        </w:tblPrEx>
        <w:trPr>
          <w:trHeight w:val="415" w:hRule="atLeast"/>
        </w:trPr>
        <w:tc>
          <w:tcPr>
            <w:tcW w:w="2025" w:type="dxa"/>
            <w:gridSpan w:val="2"/>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0"/>
                <w:szCs w:val="20"/>
              </w:rPr>
            </w:pPr>
          </w:p>
        </w:tc>
        <w:tc>
          <w:tcPr>
            <w:tcW w:w="1170" w:type="dxa"/>
            <w:gridSpan w:val="2"/>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0"/>
                <w:szCs w:val="20"/>
              </w:rPr>
            </w:pPr>
          </w:p>
        </w:tc>
        <w:tc>
          <w:tcPr>
            <w:tcW w:w="1675" w:type="dxa"/>
            <w:vMerge w:val="continue"/>
            <w:tcBorders>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kern w:val="0"/>
                <w:sz w:val="20"/>
                <w:szCs w:val="20"/>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人均标准</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11000</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11000</w:t>
            </w:r>
          </w:p>
        </w:tc>
      </w:tr>
      <w:tr>
        <w:tblPrEx>
          <w:tblCellMar>
            <w:top w:w="0" w:type="dxa"/>
            <w:left w:w="108" w:type="dxa"/>
            <w:bottom w:w="0" w:type="dxa"/>
            <w:right w:w="108" w:type="dxa"/>
          </w:tblCellMar>
        </w:tblPrEx>
        <w:trPr>
          <w:trHeight w:val="415" w:hRule="atLeast"/>
        </w:trPr>
        <w:tc>
          <w:tcPr>
            <w:tcW w:w="2025" w:type="dxa"/>
            <w:gridSpan w:val="2"/>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0"/>
                <w:szCs w:val="20"/>
              </w:rPr>
            </w:pPr>
          </w:p>
        </w:tc>
        <w:tc>
          <w:tcPr>
            <w:tcW w:w="11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hint="eastAsia" w:ascii="仿宋_GB2312" w:hAnsi="仿宋_GB2312" w:eastAsia="仿宋_GB2312" w:cs="仿宋_GB2312"/>
                <w:sz w:val="20"/>
                <w:szCs w:val="20"/>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rPr>
              <w:t>质量指标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p>
        </w:tc>
      </w:tr>
      <w:tr>
        <w:tblPrEx>
          <w:tblCellMar>
            <w:top w:w="0" w:type="dxa"/>
            <w:left w:w="108" w:type="dxa"/>
            <w:bottom w:w="0" w:type="dxa"/>
            <w:right w:w="108" w:type="dxa"/>
          </w:tblCellMar>
        </w:tblPrEx>
        <w:trPr>
          <w:trHeight w:val="415" w:hRule="atLeast"/>
        </w:trPr>
        <w:tc>
          <w:tcPr>
            <w:tcW w:w="2025" w:type="dxa"/>
            <w:gridSpan w:val="2"/>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0"/>
                <w:szCs w:val="20"/>
              </w:rPr>
            </w:pPr>
          </w:p>
        </w:tc>
        <w:tc>
          <w:tcPr>
            <w:tcW w:w="11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hint="eastAsia" w:ascii="仿宋_GB2312" w:hAnsi="仿宋_GB2312" w:eastAsia="仿宋_GB2312" w:cs="仿宋_GB2312"/>
                <w:sz w:val="20"/>
                <w:szCs w:val="20"/>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rPr>
              <w:t>时效指标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发放时间</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按月</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按月</w:t>
            </w:r>
          </w:p>
        </w:tc>
      </w:tr>
      <w:tr>
        <w:tblPrEx>
          <w:tblCellMar>
            <w:top w:w="0" w:type="dxa"/>
            <w:left w:w="108" w:type="dxa"/>
            <w:bottom w:w="0" w:type="dxa"/>
            <w:right w:w="108" w:type="dxa"/>
          </w:tblCellMar>
        </w:tblPrEx>
        <w:trPr>
          <w:trHeight w:val="480" w:hRule="atLeast"/>
        </w:trPr>
        <w:tc>
          <w:tcPr>
            <w:tcW w:w="2025" w:type="dxa"/>
            <w:gridSpan w:val="2"/>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0"/>
                <w:szCs w:val="20"/>
              </w:rPr>
            </w:pPr>
          </w:p>
        </w:tc>
        <w:tc>
          <w:tcPr>
            <w:tcW w:w="11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hint="eastAsia" w:ascii="仿宋_GB2312" w:hAnsi="仿宋_GB2312" w:eastAsia="仿宋_GB2312" w:cs="仿宋_GB2312"/>
                <w:sz w:val="20"/>
                <w:szCs w:val="20"/>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rPr>
              <w:t>成本指标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p>
        </w:tc>
      </w:tr>
      <w:tr>
        <w:tblPrEx>
          <w:tblCellMar>
            <w:top w:w="0" w:type="dxa"/>
            <w:left w:w="108" w:type="dxa"/>
            <w:bottom w:w="0" w:type="dxa"/>
            <w:right w:w="108" w:type="dxa"/>
          </w:tblCellMar>
        </w:tblPrEx>
        <w:trPr>
          <w:trHeight w:val="480" w:hRule="atLeast"/>
        </w:trPr>
        <w:tc>
          <w:tcPr>
            <w:tcW w:w="2025" w:type="dxa"/>
            <w:gridSpan w:val="2"/>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0"/>
                <w:szCs w:val="20"/>
              </w:rPr>
            </w:pPr>
          </w:p>
        </w:tc>
        <w:tc>
          <w:tcPr>
            <w:tcW w:w="11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效益</w:t>
            </w:r>
          </w:p>
          <w:p>
            <w:pPr>
              <w:widowControl/>
              <w:spacing w:line="320" w:lineRule="exact"/>
              <w:jc w:val="center"/>
              <w:textAlignment w:val="bottom"/>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rPr>
              <w:t>经济效益  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p>
        </w:tc>
      </w:tr>
      <w:tr>
        <w:tblPrEx>
          <w:tblCellMar>
            <w:top w:w="0" w:type="dxa"/>
            <w:left w:w="108" w:type="dxa"/>
            <w:bottom w:w="0" w:type="dxa"/>
            <w:right w:w="108" w:type="dxa"/>
          </w:tblCellMar>
        </w:tblPrEx>
        <w:trPr>
          <w:trHeight w:val="480" w:hRule="atLeast"/>
        </w:trPr>
        <w:tc>
          <w:tcPr>
            <w:tcW w:w="2025" w:type="dxa"/>
            <w:gridSpan w:val="2"/>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0"/>
                <w:szCs w:val="20"/>
              </w:rPr>
            </w:pPr>
          </w:p>
        </w:tc>
        <w:tc>
          <w:tcPr>
            <w:tcW w:w="11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hint="eastAsia" w:ascii="仿宋_GB2312" w:hAnsi="仿宋_GB2312" w:eastAsia="仿宋_GB2312" w:cs="仿宋_GB2312"/>
                <w:sz w:val="20"/>
                <w:szCs w:val="20"/>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rPr>
              <w:t>社会效益  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社会评价</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良好</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良好</w:t>
            </w:r>
          </w:p>
        </w:tc>
      </w:tr>
      <w:tr>
        <w:tblPrEx>
          <w:tblCellMar>
            <w:top w:w="0" w:type="dxa"/>
            <w:left w:w="108" w:type="dxa"/>
            <w:bottom w:w="0" w:type="dxa"/>
            <w:right w:w="108" w:type="dxa"/>
          </w:tblCellMar>
        </w:tblPrEx>
        <w:trPr>
          <w:trHeight w:val="577" w:hRule="atLeast"/>
        </w:trPr>
        <w:tc>
          <w:tcPr>
            <w:tcW w:w="2025" w:type="dxa"/>
            <w:gridSpan w:val="2"/>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0"/>
                <w:szCs w:val="20"/>
              </w:rPr>
            </w:pPr>
          </w:p>
        </w:tc>
        <w:tc>
          <w:tcPr>
            <w:tcW w:w="11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hint="eastAsia" w:ascii="仿宋_GB2312" w:hAnsi="仿宋_GB2312" w:eastAsia="仿宋_GB2312" w:cs="仿宋_GB2312"/>
                <w:sz w:val="20"/>
                <w:szCs w:val="20"/>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ind w:left="383" w:leftChars="87" w:hanging="200" w:hangingChars="100"/>
              <w:jc w:val="left"/>
              <w:textAlignment w:val="bottom"/>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rPr>
              <w:t>生态效益  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p>
        </w:tc>
      </w:tr>
      <w:tr>
        <w:tblPrEx>
          <w:tblCellMar>
            <w:top w:w="0" w:type="dxa"/>
            <w:left w:w="108" w:type="dxa"/>
            <w:bottom w:w="0" w:type="dxa"/>
            <w:right w:w="108" w:type="dxa"/>
          </w:tblCellMar>
        </w:tblPrEx>
        <w:trPr>
          <w:trHeight w:val="480" w:hRule="atLeast"/>
        </w:trPr>
        <w:tc>
          <w:tcPr>
            <w:tcW w:w="2025" w:type="dxa"/>
            <w:gridSpan w:val="2"/>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0"/>
                <w:szCs w:val="20"/>
              </w:rPr>
            </w:pPr>
          </w:p>
        </w:tc>
        <w:tc>
          <w:tcPr>
            <w:tcW w:w="11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hint="eastAsia" w:ascii="仿宋_GB2312" w:hAnsi="仿宋_GB2312" w:eastAsia="仿宋_GB2312" w:cs="仿宋_GB2312"/>
                <w:sz w:val="20"/>
                <w:szCs w:val="20"/>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rPr>
              <w:t>可持续影响 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p>
        </w:tc>
      </w:tr>
      <w:tr>
        <w:tblPrEx>
          <w:tblCellMar>
            <w:top w:w="0" w:type="dxa"/>
            <w:left w:w="108" w:type="dxa"/>
            <w:bottom w:w="0" w:type="dxa"/>
            <w:right w:w="108" w:type="dxa"/>
          </w:tblCellMar>
        </w:tblPrEx>
        <w:trPr>
          <w:trHeight w:val="530" w:hRule="atLeast"/>
        </w:trPr>
        <w:tc>
          <w:tcPr>
            <w:tcW w:w="2025" w:type="dxa"/>
            <w:gridSpan w:val="2"/>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0"/>
                <w:szCs w:val="20"/>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满意</w:t>
            </w:r>
          </w:p>
          <w:p>
            <w:pPr>
              <w:widowControl/>
              <w:spacing w:line="320" w:lineRule="exact"/>
              <w:jc w:val="center"/>
              <w:textAlignment w:val="bottom"/>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rPr>
              <w:t>度指标</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满意度</w:t>
            </w:r>
          </w:p>
          <w:p>
            <w:pPr>
              <w:widowControl/>
              <w:spacing w:line="320" w:lineRule="exact"/>
              <w:jc w:val="center"/>
              <w:textAlignment w:val="bottom"/>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师生满意度</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≥95</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≥95</w:t>
            </w:r>
          </w:p>
        </w:tc>
      </w:tr>
    </w:tbl>
    <w:p>
      <w:pPr>
        <w:spacing w:line="600" w:lineRule="exact"/>
        <w:jc w:val="center"/>
        <w:outlineLvl w:val="9"/>
        <w:rPr>
          <w:rFonts w:ascii="黑体" w:hAnsi="黑体" w:eastAsia="黑体"/>
          <w:sz w:val="44"/>
          <w:szCs w:val="44"/>
        </w:rPr>
      </w:pPr>
    </w:p>
    <w:p>
      <w:r>
        <w:br w:type="page"/>
      </w:r>
    </w:p>
    <w:tbl>
      <w:tblPr>
        <w:tblStyle w:val="13"/>
        <w:tblpPr w:leftFromText="180" w:rightFromText="180" w:vertAnchor="text" w:horzAnchor="page" w:tblpX="1215" w:tblpY="330"/>
        <w:tblOverlap w:val="never"/>
        <w:tblW w:w="9811" w:type="dxa"/>
        <w:tblInd w:w="0" w:type="dxa"/>
        <w:tblLayout w:type="fixed"/>
        <w:tblCellMar>
          <w:top w:w="0" w:type="dxa"/>
          <w:left w:w="108" w:type="dxa"/>
          <w:bottom w:w="0" w:type="dxa"/>
          <w:right w:w="108" w:type="dxa"/>
        </w:tblCellMar>
      </w:tblPr>
      <w:tblGrid>
        <w:gridCol w:w="2025"/>
        <w:gridCol w:w="1170"/>
        <w:gridCol w:w="1675"/>
        <w:gridCol w:w="1218"/>
        <w:gridCol w:w="1254"/>
        <w:gridCol w:w="2469"/>
      </w:tblGrid>
      <w:tr>
        <w:tblPrEx>
          <w:tblCellMar>
            <w:top w:w="0" w:type="dxa"/>
            <w:left w:w="108" w:type="dxa"/>
            <w:bottom w:w="0" w:type="dxa"/>
            <w:right w:w="108" w:type="dxa"/>
          </w:tblCellMar>
        </w:tblPrEx>
        <w:trPr>
          <w:trHeight w:val="675" w:hRule="atLeast"/>
        </w:trPr>
        <w:tc>
          <w:tcPr>
            <w:tcW w:w="9811" w:type="dxa"/>
            <w:gridSpan w:val="6"/>
            <w:tcBorders>
              <w:top w:val="nil"/>
              <w:left w:val="nil"/>
              <w:bottom w:val="nil"/>
              <w:right w:val="nil"/>
            </w:tcBorders>
            <w:shd w:val="clear" w:color="auto" w:fill="auto"/>
            <w:vAlign w:val="center"/>
          </w:tcPr>
          <w:p>
            <w:pPr>
              <w:widowControl/>
              <w:jc w:val="center"/>
              <w:textAlignment w:val="center"/>
              <w:rPr>
                <w:rFonts w:ascii="宋体" w:hAnsi="宋体" w:cs="宋体"/>
                <w:b/>
                <w:color w:val="000000"/>
                <w:sz w:val="32"/>
                <w:szCs w:val="32"/>
              </w:rPr>
            </w:pPr>
            <w:r>
              <w:rPr>
                <w:rFonts w:hint="eastAsia" w:ascii="宋体" w:hAnsi="宋体" w:cs="宋体"/>
                <w:b/>
                <w:color w:val="000000"/>
                <w:sz w:val="32"/>
                <w:szCs w:val="32"/>
              </w:rPr>
              <w:t>2021年100万元以上（含）特定目标类部门预算项目绩效目标自评</w:t>
            </w:r>
          </w:p>
          <w:p>
            <w:pPr>
              <w:widowControl/>
              <w:jc w:val="center"/>
              <w:textAlignment w:val="center"/>
              <w:rPr>
                <w:rFonts w:ascii="宋体" w:hAnsi="宋体" w:cs="宋体"/>
                <w:b/>
                <w:sz w:val="32"/>
                <w:szCs w:val="32"/>
              </w:rPr>
            </w:pPr>
            <w:r>
              <w:rPr>
                <w:rFonts w:hint="eastAsia" w:ascii="宋体" w:hAnsi="宋体" w:cs="宋体"/>
                <w:b/>
                <w:sz w:val="32"/>
                <w:szCs w:val="32"/>
              </w:rPr>
              <w:t>(上年结转-物业管理费项目)</w:t>
            </w:r>
          </w:p>
        </w:tc>
      </w:tr>
      <w:tr>
        <w:tblPrEx>
          <w:tblCellMar>
            <w:top w:w="0" w:type="dxa"/>
            <w:left w:w="108" w:type="dxa"/>
            <w:bottom w:w="0" w:type="dxa"/>
            <w:right w:w="108" w:type="dxa"/>
          </w:tblCellMar>
        </w:tblPrEx>
        <w:trPr>
          <w:trHeight w:val="254" w:hRule="atLeast"/>
        </w:trPr>
        <w:tc>
          <w:tcPr>
            <w:tcW w:w="31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主管部门及代码</w:t>
            </w:r>
          </w:p>
        </w:tc>
        <w:tc>
          <w:tcPr>
            <w:tcW w:w="2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四川省商务厅322</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实施单位</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四川商务职业学院</w:t>
            </w:r>
          </w:p>
        </w:tc>
      </w:tr>
      <w:tr>
        <w:tblPrEx>
          <w:tblCellMar>
            <w:top w:w="0" w:type="dxa"/>
            <w:left w:w="108" w:type="dxa"/>
            <w:bottom w:w="0" w:type="dxa"/>
            <w:right w:w="108" w:type="dxa"/>
          </w:tblCellMar>
        </w:tblPrEx>
        <w:trPr>
          <w:trHeight w:val="341" w:hRule="atLeast"/>
        </w:trPr>
        <w:tc>
          <w:tcPr>
            <w:tcW w:w="31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项目预算</w:t>
            </w:r>
          </w:p>
          <w:p>
            <w:pPr>
              <w:widowControl/>
              <w:spacing w:line="320" w:lineRule="exact"/>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执行情况</w:t>
            </w:r>
          </w:p>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（万元）</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 xml:space="preserve"> 预算数：</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179</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 xml:space="preserve"> 执行数：</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79</w:t>
            </w:r>
          </w:p>
        </w:tc>
      </w:tr>
      <w:tr>
        <w:tblPrEx>
          <w:tblCellMar>
            <w:top w:w="0" w:type="dxa"/>
            <w:left w:w="108" w:type="dxa"/>
            <w:bottom w:w="0" w:type="dxa"/>
            <w:right w:w="108" w:type="dxa"/>
          </w:tblCellMar>
        </w:tblPrEx>
        <w:trPr>
          <w:trHeight w:val="555" w:hRule="atLeast"/>
        </w:trPr>
        <w:tc>
          <w:tcPr>
            <w:tcW w:w="31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其中：</w:t>
            </w:r>
          </w:p>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财政拨款</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179</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其中：</w:t>
            </w:r>
          </w:p>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财政拨款</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179</w:t>
            </w:r>
          </w:p>
        </w:tc>
      </w:tr>
      <w:tr>
        <w:tblPrEx>
          <w:tblCellMar>
            <w:top w:w="0" w:type="dxa"/>
            <w:left w:w="108" w:type="dxa"/>
            <w:bottom w:w="0" w:type="dxa"/>
            <w:right w:w="108" w:type="dxa"/>
          </w:tblCellMar>
        </w:tblPrEx>
        <w:trPr>
          <w:trHeight w:val="341" w:hRule="atLeast"/>
        </w:trPr>
        <w:tc>
          <w:tcPr>
            <w:tcW w:w="31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其他资金</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sz w:val="20"/>
                <w:szCs w:val="20"/>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其他资金</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p>
        </w:tc>
      </w:tr>
      <w:tr>
        <w:tblPrEx>
          <w:tblCellMar>
            <w:top w:w="0" w:type="dxa"/>
            <w:left w:w="108" w:type="dxa"/>
            <w:bottom w:w="0" w:type="dxa"/>
            <w:right w:w="108" w:type="dxa"/>
          </w:tblCellMar>
        </w:tblPrEx>
        <w:trPr>
          <w:trHeight w:val="217" w:hRule="atLeast"/>
        </w:trPr>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年度总体目标</w:t>
            </w:r>
          </w:p>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完成情况</w:t>
            </w:r>
          </w:p>
        </w:tc>
        <w:tc>
          <w:tcPr>
            <w:tcW w:w="40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预期目标</w:t>
            </w:r>
          </w:p>
        </w:tc>
        <w:tc>
          <w:tcPr>
            <w:tcW w:w="37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目标实际完成情况</w:t>
            </w:r>
          </w:p>
        </w:tc>
      </w:tr>
      <w:tr>
        <w:tblPrEx>
          <w:tblCellMar>
            <w:top w:w="0" w:type="dxa"/>
            <w:left w:w="108" w:type="dxa"/>
            <w:bottom w:w="0" w:type="dxa"/>
            <w:right w:w="108" w:type="dxa"/>
          </w:tblCellMar>
        </w:tblPrEx>
        <w:trPr>
          <w:trHeight w:val="797" w:hRule="atLeast"/>
        </w:trPr>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4063" w:type="dxa"/>
            <w:gridSpan w:val="3"/>
            <w:tcBorders>
              <w:top w:val="single" w:color="000000" w:sz="4" w:space="0"/>
              <w:left w:val="single" w:color="000000" w:sz="4" w:space="0"/>
              <w:bottom w:val="single" w:color="000000" w:sz="4" w:space="0"/>
              <w:right w:val="single" w:color="000000" w:sz="4" w:space="0"/>
            </w:tcBorders>
            <w:shd w:val="clear" w:color="auto" w:fill="auto"/>
          </w:tcPr>
          <w:p>
            <w:pPr>
              <w:pStyle w:val="2"/>
              <w:spacing w:before="93"/>
              <w:rPr>
                <w:rFonts w:hAnsi="仿宋_GB2312" w:cs="仿宋_GB2312"/>
                <w:sz w:val="20"/>
                <w:szCs w:val="20"/>
              </w:rPr>
            </w:pPr>
            <w:r>
              <w:rPr>
                <w:rFonts w:hint="eastAsia" w:hAnsi="仿宋_GB2312" w:cs="仿宋_GB2312"/>
                <w:sz w:val="20"/>
                <w:szCs w:val="20"/>
              </w:rPr>
              <w:t>完成学院基础物业管理工作，包含主要内容为：1、和盛校区、文家东、西校区公共环境卫生保洁服务；2、绿化养护；3、学院公共设施设备日常运行管理、水电维修维护，新增加设备的安装；4、食堂抽油烟道和供水锅炉清洗服务；5、全院化粪池清淘及管道疏通服务，各类管道的更换、安装（含地下管网的维修、更换，挖掘、填埋、地面恢复等）6、校内、外垃圾清运服务；7、临时物资搬运及用工等，确保校园环境良好，维修及时到位</w:t>
            </w:r>
          </w:p>
        </w:tc>
        <w:tc>
          <w:tcPr>
            <w:tcW w:w="3723"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仿宋_GB2312" w:hAnsi="仿宋_GB2312" w:eastAsia="仿宋_GB2312" w:cs="仿宋_GB2312"/>
                <w:sz w:val="20"/>
                <w:szCs w:val="20"/>
              </w:rPr>
            </w:pPr>
            <w:r>
              <w:rPr>
                <w:rFonts w:hint="eastAsia" w:ascii="仿宋_GB2312" w:hAnsi="仿宋_GB2312" w:eastAsia="仿宋_GB2312" w:cs="仿宋_GB2312"/>
                <w:sz w:val="20"/>
                <w:szCs w:val="20"/>
              </w:rPr>
              <w:t>全部完成并达到了相关要求。</w:t>
            </w:r>
          </w:p>
        </w:tc>
      </w:tr>
      <w:tr>
        <w:tblPrEx>
          <w:tblCellMar>
            <w:top w:w="0" w:type="dxa"/>
            <w:left w:w="108" w:type="dxa"/>
            <w:bottom w:w="0" w:type="dxa"/>
            <w:right w:w="108" w:type="dxa"/>
          </w:tblCellMar>
        </w:tblPrEx>
        <w:trPr>
          <w:trHeight w:val="693" w:hRule="atLeast"/>
        </w:trPr>
        <w:tc>
          <w:tcPr>
            <w:tcW w:w="2025"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年度绩效指标完成情况</w:t>
            </w:r>
          </w:p>
        </w:tc>
        <w:tc>
          <w:tcPr>
            <w:tcW w:w="1170"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一级</w:t>
            </w:r>
          </w:p>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二级</w:t>
            </w:r>
          </w:p>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三级</w:t>
            </w:r>
          </w:p>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预期指标值</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实际完成指标值</w:t>
            </w:r>
          </w:p>
        </w:tc>
      </w:tr>
      <w:tr>
        <w:tblPrEx>
          <w:tblCellMar>
            <w:top w:w="0" w:type="dxa"/>
            <w:left w:w="108" w:type="dxa"/>
            <w:bottom w:w="0" w:type="dxa"/>
            <w:right w:w="108" w:type="dxa"/>
          </w:tblCellMar>
        </w:tblPrEx>
        <w:trPr>
          <w:trHeight w:val="415" w:hRule="atLeast"/>
        </w:trPr>
        <w:tc>
          <w:tcPr>
            <w:tcW w:w="202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完成</w:t>
            </w:r>
          </w:p>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数量指标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完成校区个数</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3个</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3个</w:t>
            </w:r>
          </w:p>
        </w:tc>
      </w:tr>
      <w:tr>
        <w:tblPrEx>
          <w:tblCellMar>
            <w:top w:w="0" w:type="dxa"/>
            <w:left w:w="108" w:type="dxa"/>
            <w:bottom w:w="0" w:type="dxa"/>
            <w:right w:w="108" w:type="dxa"/>
          </w:tblCellMar>
        </w:tblPrEx>
        <w:trPr>
          <w:trHeight w:val="415" w:hRule="atLeast"/>
        </w:trPr>
        <w:tc>
          <w:tcPr>
            <w:tcW w:w="202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0"/>
                <w:szCs w:val="20"/>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质量指标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完成效果</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良好</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良好</w:t>
            </w:r>
          </w:p>
        </w:tc>
      </w:tr>
      <w:tr>
        <w:tblPrEx>
          <w:tblCellMar>
            <w:top w:w="0" w:type="dxa"/>
            <w:left w:w="108" w:type="dxa"/>
            <w:bottom w:w="0" w:type="dxa"/>
            <w:right w:w="108" w:type="dxa"/>
          </w:tblCellMar>
        </w:tblPrEx>
        <w:trPr>
          <w:trHeight w:val="415" w:hRule="atLeast"/>
        </w:trPr>
        <w:tc>
          <w:tcPr>
            <w:tcW w:w="202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0"/>
                <w:szCs w:val="20"/>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时效指标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完成时间</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2021年12月</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2021年12月</w:t>
            </w:r>
          </w:p>
        </w:tc>
      </w:tr>
      <w:tr>
        <w:tblPrEx>
          <w:tblCellMar>
            <w:top w:w="0" w:type="dxa"/>
            <w:left w:w="108" w:type="dxa"/>
            <w:bottom w:w="0" w:type="dxa"/>
            <w:right w:w="108" w:type="dxa"/>
          </w:tblCellMar>
        </w:tblPrEx>
        <w:trPr>
          <w:trHeight w:val="480" w:hRule="atLeast"/>
        </w:trPr>
        <w:tc>
          <w:tcPr>
            <w:tcW w:w="202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0"/>
                <w:szCs w:val="20"/>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成本指标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r>
      <w:tr>
        <w:tblPrEx>
          <w:tblCellMar>
            <w:top w:w="0" w:type="dxa"/>
            <w:left w:w="108" w:type="dxa"/>
            <w:bottom w:w="0" w:type="dxa"/>
            <w:right w:w="108" w:type="dxa"/>
          </w:tblCellMar>
        </w:tblPrEx>
        <w:trPr>
          <w:trHeight w:val="480" w:hRule="atLeast"/>
        </w:trPr>
        <w:tc>
          <w:tcPr>
            <w:tcW w:w="202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效益</w:t>
            </w:r>
          </w:p>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经济效益  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物资节约率</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节约30%</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节约30%</w:t>
            </w:r>
          </w:p>
        </w:tc>
      </w:tr>
      <w:tr>
        <w:tblPrEx>
          <w:tblCellMar>
            <w:top w:w="0" w:type="dxa"/>
            <w:left w:w="108" w:type="dxa"/>
            <w:bottom w:w="0" w:type="dxa"/>
            <w:right w:w="108" w:type="dxa"/>
          </w:tblCellMar>
        </w:tblPrEx>
        <w:trPr>
          <w:trHeight w:val="480" w:hRule="atLeast"/>
        </w:trPr>
        <w:tc>
          <w:tcPr>
            <w:tcW w:w="202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0"/>
                <w:szCs w:val="20"/>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社会效益  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r>
      <w:tr>
        <w:tblPrEx>
          <w:tblCellMar>
            <w:top w:w="0" w:type="dxa"/>
            <w:left w:w="108" w:type="dxa"/>
            <w:bottom w:w="0" w:type="dxa"/>
            <w:right w:w="108" w:type="dxa"/>
          </w:tblCellMar>
        </w:tblPrEx>
        <w:trPr>
          <w:trHeight w:val="577" w:hRule="atLeast"/>
        </w:trPr>
        <w:tc>
          <w:tcPr>
            <w:tcW w:w="202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0"/>
                <w:szCs w:val="20"/>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ind w:left="383" w:leftChars="87" w:hanging="200" w:hangingChars="100"/>
              <w:jc w:val="left"/>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生态效益  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r>
      <w:tr>
        <w:tblPrEx>
          <w:tblCellMar>
            <w:top w:w="0" w:type="dxa"/>
            <w:left w:w="108" w:type="dxa"/>
            <w:bottom w:w="0" w:type="dxa"/>
            <w:right w:w="108" w:type="dxa"/>
          </w:tblCellMar>
        </w:tblPrEx>
        <w:trPr>
          <w:trHeight w:val="480" w:hRule="atLeast"/>
        </w:trPr>
        <w:tc>
          <w:tcPr>
            <w:tcW w:w="202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0"/>
                <w:szCs w:val="20"/>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可持续影响 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r>
      <w:tr>
        <w:tblPrEx>
          <w:tblCellMar>
            <w:top w:w="0" w:type="dxa"/>
            <w:left w:w="108" w:type="dxa"/>
            <w:bottom w:w="0" w:type="dxa"/>
            <w:right w:w="108" w:type="dxa"/>
          </w:tblCellMar>
        </w:tblPrEx>
        <w:trPr>
          <w:trHeight w:val="530" w:hRule="atLeast"/>
        </w:trPr>
        <w:tc>
          <w:tcPr>
            <w:tcW w:w="2025"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满意</w:t>
            </w:r>
          </w:p>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度指标</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满意度</w:t>
            </w:r>
          </w:p>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师生满意度</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≥80</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&gt;=80</w:t>
            </w:r>
          </w:p>
        </w:tc>
      </w:tr>
    </w:tbl>
    <w:p>
      <w:pPr>
        <w:pStyle w:val="3"/>
      </w:pPr>
    </w:p>
    <w:p>
      <w:pPr>
        <w:spacing w:line="600" w:lineRule="exact"/>
        <w:rPr>
          <w:rFonts w:ascii="黑体" w:hAnsi="黑体" w:eastAsia="黑体"/>
          <w:sz w:val="44"/>
          <w:szCs w:val="44"/>
        </w:rPr>
      </w:pPr>
    </w:p>
    <w:tbl>
      <w:tblPr>
        <w:tblStyle w:val="13"/>
        <w:tblpPr w:leftFromText="180" w:rightFromText="180" w:vertAnchor="text" w:horzAnchor="page" w:tblpX="1242" w:tblpY="343"/>
        <w:tblOverlap w:val="never"/>
        <w:tblW w:w="9811" w:type="dxa"/>
        <w:tblInd w:w="0" w:type="dxa"/>
        <w:tblLayout w:type="fixed"/>
        <w:tblCellMar>
          <w:top w:w="0" w:type="dxa"/>
          <w:left w:w="108" w:type="dxa"/>
          <w:bottom w:w="0" w:type="dxa"/>
          <w:right w:w="108" w:type="dxa"/>
        </w:tblCellMar>
      </w:tblPr>
      <w:tblGrid>
        <w:gridCol w:w="2025"/>
        <w:gridCol w:w="1170"/>
        <w:gridCol w:w="1675"/>
        <w:gridCol w:w="1218"/>
        <w:gridCol w:w="1254"/>
        <w:gridCol w:w="2469"/>
      </w:tblGrid>
      <w:tr>
        <w:tblPrEx>
          <w:tblCellMar>
            <w:top w:w="0" w:type="dxa"/>
            <w:left w:w="108" w:type="dxa"/>
            <w:bottom w:w="0" w:type="dxa"/>
            <w:right w:w="108" w:type="dxa"/>
          </w:tblCellMar>
        </w:tblPrEx>
        <w:trPr>
          <w:trHeight w:val="675" w:hRule="atLeast"/>
        </w:trPr>
        <w:tc>
          <w:tcPr>
            <w:tcW w:w="9811" w:type="dxa"/>
            <w:gridSpan w:val="6"/>
            <w:tcBorders>
              <w:top w:val="nil"/>
              <w:left w:val="nil"/>
              <w:bottom w:val="nil"/>
              <w:right w:val="nil"/>
            </w:tcBorders>
            <w:shd w:val="clear" w:color="auto" w:fill="auto"/>
            <w:vAlign w:val="center"/>
          </w:tcPr>
          <w:p>
            <w:pPr>
              <w:widowControl/>
              <w:jc w:val="center"/>
              <w:textAlignment w:val="center"/>
              <w:rPr>
                <w:rFonts w:ascii="宋体" w:hAnsi="宋体" w:cs="宋体"/>
                <w:b/>
                <w:color w:val="000000"/>
                <w:sz w:val="32"/>
                <w:szCs w:val="32"/>
              </w:rPr>
            </w:pPr>
            <w:r>
              <w:rPr>
                <w:rFonts w:hint="eastAsia" w:ascii="宋体" w:hAnsi="宋体" w:cs="宋体"/>
                <w:b/>
                <w:color w:val="000000"/>
                <w:sz w:val="32"/>
                <w:szCs w:val="32"/>
              </w:rPr>
              <w:t>2021年100万元以上（含）特定目标类部门预算项目绩效目标自评</w:t>
            </w:r>
          </w:p>
          <w:p>
            <w:pPr>
              <w:widowControl/>
              <w:jc w:val="center"/>
              <w:textAlignment w:val="center"/>
              <w:rPr>
                <w:rFonts w:ascii="宋体" w:hAnsi="宋体" w:cs="宋体"/>
                <w:b/>
                <w:sz w:val="32"/>
                <w:szCs w:val="32"/>
              </w:rPr>
            </w:pPr>
            <w:r>
              <w:rPr>
                <w:rFonts w:hint="eastAsia" w:ascii="宋体" w:hAnsi="宋体" w:cs="宋体"/>
                <w:b/>
                <w:sz w:val="32"/>
                <w:szCs w:val="32"/>
              </w:rPr>
              <w:t>(上年结转-学生运动场建设项目)</w:t>
            </w:r>
          </w:p>
        </w:tc>
      </w:tr>
      <w:tr>
        <w:tblPrEx>
          <w:tblCellMar>
            <w:top w:w="0" w:type="dxa"/>
            <w:left w:w="108" w:type="dxa"/>
            <w:bottom w:w="0" w:type="dxa"/>
            <w:right w:w="108" w:type="dxa"/>
          </w:tblCellMar>
        </w:tblPrEx>
        <w:trPr>
          <w:trHeight w:val="254" w:hRule="atLeast"/>
        </w:trPr>
        <w:tc>
          <w:tcPr>
            <w:tcW w:w="31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主管部门及代码</w:t>
            </w:r>
          </w:p>
        </w:tc>
        <w:tc>
          <w:tcPr>
            <w:tcW w:w="2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四川省商务厅322</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实施单位</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四川商务职业学院</w:t>
            </w:r>
          </w:p>
        </w:tc>
      </w:tr>
      <w:tr>
        <w:tblPrEx>
          <w:tblCellMar>
            <w:top w:w="0" w:type="dxa"/>
            <w:left w:w="108" w:type="dxa"/>
            <w:bottom w:w="0" w:type="dxa"/>
            <w:right w:w="108" w:type="dxa"/>
          </w:tblCellMar>
        </w:tblPrEx>
        <w:trPr>
          <w:trHeight w:val="341" w:hRule="atLeast"/>
        </w:trPr>
        <w:tc>
          <w:tcPr>
            <w:tcW w:w="31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项目预算</w:t>
            </w:r>
          </w:p>
          <w:p>
            <w:pPr>
              <w:widowControl/>
              <w:spacing w:line="320" w:lineRule="exact"/>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执行情况</w:t>
            </w:r>
          </w:p>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（万元）</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 xml:space="preserve"> 预算数：</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515</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 xml:space="preserve"> 执行数：</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28.7</w:t>
            </w:r>
          </w:p>
        </w:tc>
      </w:tr>
      <w:tr>
        <w:trPr>
          <w:trHeight w:val="555" w:hRule="atLeast"/>
        </w:trPr>
        <w:tc>
          <w:tcPr>
            <w:tcW w:w="31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其中：</w:t>
            </w:r>
          </w:p>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财政拨款</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515</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其中：</w:t>
            </w:r>
          </w:p>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财政拨款</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28.7</w:t>
            </w:r>
          </w:p>
        </w:tc>
      </w:tr>
      <w:tr>
        <w:tblPrEx>
          <w:tblCellMar>
            <w:top w:w="0" w:type="dxa"/>
            <w:left w:w="108" w:type="dxa"/>
            <w:bottom w:w="0" w:type="dxa"/>
            <w:right w:w="108" w:type="dxa"/>
          </w:tblCellMar>
        </w:tblPrEx>
        <w:trPr>
          <w:trHeight w:val="341" w:hRule="atLeast"/>
        </w:trPr>
        <w:tc>
          <w:tcPr>
            <w:tcW w:w="31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其他资金</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sz w:val="20"/>
                <w:szCs w:val="20"/>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其他资金</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p>
        </w:tc>
      </w:tr>
      <w:tr>
        <w:tblPrEx>
          <w:tblCellMar>
            <w:top w:w="0" w:type="dxa"/>
            <w:left w:w="108" w:type="dxa"/>
            <w:bottom w:w="0" w:type="dxa"/>
            <w:right w:w="108" w:type="dxa"/>
          </w:tblCellMar>
        </w:tblPrEx>
        <w:trPr>
          <w:trHeight w:val="217" w:hRule="atLeast"/>
        </w:trPr>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年度总体目标</w:t>
            </w:r>
          </w:p>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完成情况</w:t>
            </w:r>
          </w:p>
        </w:tc>
        <w:tc>
          <w:tcPr>
            <w:tcW w:w="40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预期目标</w:t>
            </w:r>
          </w:p>
        </w:tc>
        <w:tc>
          <w:tcPr>
            <w:tcW w:w="37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目标实际完成情况</w:t>
            </w:r>
          </w:p>
        </w:tc>
      </w:tr>
      <w:tr>
        <w:tblPrEx>
          <w:tblCellMar>
            <w:top w:w="0" w:type="dxa"/>
            <w:left w:w="108" w:type="dxa"/>
            <w:bottom w:w="0" w:type="dxa"/>
            <w:right w:w="108" w:type="dxa"/>
          </w:tblCellMar>
        </w:tblPrEx>
        <w:trPr>
          <w:trHeight w:val="797" w:hRule="atLeast"/>
        </w:trPr>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4063" w:type="dxa"/>
            <w:gridSpan w:val="3"/>
            <w:tcBorders>
              <w:top w:val="single" w:color="000000" w:sz="4" w:space="0"/>
              <w:left w:val="single" w:color="000000" w:sz="4" w:space="0"/>
              <w:bottom w:val="single" w:color="000000" w:sz="4" w:space="0"/>
              <w:right w:val="single" w:color="000000" w:sz="4" w:space="0"/>
            </w:tcBorders>
            <w:shd w:val="clear" w:color="auto" w:fill="auto"/>
          </w:tcPr>
          <w:p>
            <w:pPr>
              <w:pStyle w:val="2"/>
              <w:spacing w:before="93"/>
              <w:rPr>
                <w:rFonts w:hAnsi="仿宋_GB2312" w:cs="仿宋_GB2312"/>
                <w:sz w:val="20"/>
                <w:szCs w:val="20"/>
              </w:rPr>
            </w:pPr>
            <w:r>
              <w:rPr>
                <w:rFonts w:hint="eastAsia" w:hAnsi="仿宋_GB2312" w:cs="仿宋_GB2312"/>
                <w:sz w:val="20"/>
                <w:szCs w:val="20"/>
              </w:rPr>
              <w:t>我院新校区建院以来，一直缺乏运动场地，办学功能不齐全，未达到国家高职院校办学的基本要求，现和盛校区有五千余学生，活动场地非常有限，体育课基本上不能进行田径等项目的教学，目前我们基本上是在硬化的水泥地面进行各项体育活动，使体育课存在安全隐患，为此学院全院师生十分期盼尽快建设运动场地，满足体育教学和学生活动的需要，同时满足我院体闲体育专业人才培养工作的需要。</w:t>
            </w:r>
          </w:p>
        </w:tc>
        <w:tc>
          <w:tcPr>
            <w:tcW w:w="3723"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仿宋_GB2312" w:hAnsi="仿宋_GB2312" w:eastAsia="仿宋_GB2312" w:cs="仿宋_GB2312"/>
                <w:sz w:val="20"/>
                <w:szCs w:val="20"/>
              </w:rPr>
            </w:pPr>
            <w:r>
              <w:rPr>
                <w:rFonts w:hint="eastAsia" w:ascii="仿宋_GB2312" w:hAnsi="仿宋_GB2312" w:eastAsia="仿宋_GB2312" w:cs="仿宋_GB2312"/>
                <w:sz w:val="20"/>
                <w:szCs w:val="20"/>
              </w:rPr>
              <w:t>完成了立项决议前期工作（可行性研究、文物勘测、红线图、净地报告、规划条件、用地预审与选址意见书、设计图初设、专家评审、财评），预计2022年12月完成该项目。</w:t>
            </w:r>
          </w:p>
        </w:tc>
      </w:tr>
      <w:tr>
        <w:trPr>
          <w:trHeight w:val="693" w:hRule="atLeast"/>
        </w:trPr>
        <w:tc>
          <w:tcPr>
            <w:tcW w:w="2025"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年度绩效指标完成情况</w:t>
            </w:r>
          </w:p>
        </w:tc>
        <w:tc>
          <w:tcPr>
            <w:tcW w:w="1170"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一级</w:t>
            </w:r>
          </w:p>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二级</w:t>
            </w:r>
          </w:p>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三级</w:t>
            </w:r>
          </w:p>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预期指标值</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实际完成指标值</w:t>
            </w:r>
          </w:p>
        </w:tc>
      </w:tr>
      <w:tr>
        <w:tblPrEx>
          <w:tblCellMar>
            <w:top w:w="0" w:type="dxa"/>
            <w:left w:w="108" w:type="dxa"/>
            <w:bottom w:w="0" w:type="dxa"/>
            <w:right w:w="108" w:type="dxa"/>
          </w:tblCellMar>
        </w:tblPrEx>
        <w:trPr>
          <w:trHeight w:val="415" w:hRule="atLeast"/>
        </w:trPr>
        <w:tc>
          <w:tcPr>
            <w:tcW w:w="202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完成</w:t>
            </w:r>
          </w:p>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数量指标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标准体育场</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20000</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进行中</w:t>
            </w:r>
          </w:p>
        </w:tc>
      </w:tr>
      <w:tr>
        <w:tblPrEx>
          <w:tblCellMar>
            <w:top w:w="0" w:type="dxa"/>
            <w:left w:w="108" w:type="dxa"/>
            <w:bottom w:w="0" w:type="dxa"/>
            <w:right w:w="108" w:type="dxa"/>
          </w:tblCellMar>
        </w:tblPrEx>
        <w:trPr>
          <w:trHeight w:val="415" w:hRule="atLeast"/>
        </w:trPr>
        <w:tc>
          <w:tcPr>
            <w:tcW w:w="202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0"/>
                <w:szCs w:val="20"/>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质量指标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实用，美观</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良好</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实用，美观</w:t>
            </w:r>
          </w:p>
        </w:tc>
      </w:tr>
      <w:tr>
        <w:tblPrEx>
          <w:tblCellMar>
            <w:top w:w="0" w:type="dxa"/>
            <w:left w:w="108" w:type="dxa"/>
            <w:bottom w:w="0" w:type="dxa"/>
            <w:right w:w="108" w:type="dxa"/>
          </w:tblCellMar>
        </w:tblPrEx>
        <w:trPr>
          <w:trHeight w:val="415" w:hRule="atLeast"/>
        </w:trPr>
        <w:tc>
          <w:tcPr>
            <w:tcW w:w="202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0"/>
                <w:szCs w:val="20"/>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时效指标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完成时间</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2021</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未完成</w:t>
            </w:r>
          </w:p>
        </w:tc>
      </w:tr>
      <w:tr>
        <w:trPr>
          <w:trHeight w:val="480" w:hRule="atLeast"/>
        </w:trPr>
        <w:tc>
          <w:tcPr>
            <w:tcW w:w="202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0"/>
                <w:szCs w:val="20"/>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成本指标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r>
      <w:tr>
        <w:tblPrEx>
          <w:tblCellMar>
            <w:top w:w="0" w:type="dxa"/>
            <w:left w:w="108" w:type="dxa"/>
            <w:bottom w:w="0" w:type="dxa"/>
            <w:right w:w="108" w:type="dxa"/>
          </w:tblCellMar>
        </w:tblPrEx>
        <w:trPr>
          <w:trHeight w:val="480" w:hRule="atLeast"/>
        </w:trPr>
        <w:tc>
          <w:tcPr>
            <w:tcW w:w="202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效益</w:t>
            </w:r>
          </w:p>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经济效益  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r>
      <w:tr>
        <w:tblPrEx>
          <w:tblCellMar>
            <w:top w:w="0" w:type="dxa"/>
            <w:left w:w="108" w:type="dxa"/>
            <w:bottom w:w="0" w:type="dxa"/>
            <w:right w:w="108" w:type="dxa"/>
          </w:tblCellMar>
        </w:tblPrEx>
        <w:trPr>
          <w:trHeight w:val="480" w:hRule="atLeast"/>
        </w:trPr>
        <w:tc>
          <w:tcPr>
            <w:tcW w:w="202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0"/>
                <w:szCs w:val="20"/>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社会效益  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r>
      <w:tr>
        <w:tblPrEx>
          <w:tblCellMar>
            <w:top w:w="0" w:type="dxa"/>
            <w:left w:w="108" w:type="dxa"/>
            <w:bottom w:w="0" w:type="dxa"/>
            <w:right w:w="108" w:type="dxa"/>
          </w:tblCellMar>
        </w:tblPrEx>
        <w:trPr>
          <w:trHeight w:val="577" w:hRule="atLeast"/>
        </w:trPr>
        <w:tc>
          <w:tcPr>
            <w:tcW w:w="202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0"/>
                <w:szCs w:val="20"/>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ind w:left="383" w:leftChars="87" w:hanging="200" w:hangingChars="100"/>
              <w:jc w:val="left"/>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生态效益  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r>
      <w:tr>
        <w:trPr>
          <w:trHeight w:val="480" w:hRule="atLeast"/>
        </w:trPr>
        <w:tc>
          <w:tcPr>
            <w:tcW w:w="202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0"/>
                <w:szCs w:val="20"/>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可持续影响 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可使用年限</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≥20</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进行中</w:t>
            </w:r>
          </w:p>
        </w:tc>
      </w:tr>
      <w:tr>
        <w:tblPrEx>
          <w:tblCellMar>
            <w:top w:w="0" w:type="dxa"/>
            <w:left w:w="108" w:type="dxa"/>
            <w:bottom w:w="0" w:type="dxa"/>
            <w:right w:w="108" w:type="dxa"/>
          </w:tblCellMar>
        </w:tblPrEx>
        <w:trPr>
          <w:trHeight w:val="530" w:hRule="atLeast"/>
        </w:trPr>
        <w:tc>
          <w:tcPr>
            <w:tcW w:w="2025"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满意</w:t>
            </w:r>
          </w:p>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度指标</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满意度</w:t>
            </w:r>
          </w:p>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师生满意度</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≥98</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进行中</w:t>
            </w:r>
          </w:p>
        </w:tc>
      </w:tr>
    </w:tbl>
    <w:p>
      <w:pPr>
        <w:spacing w:line="600" w:lineRule="exact"/>
        <w:jc w:val="center"/>
        <w:rPr>
          <w:rFonts w:ascii="黑体" w:hAnsi="黑体" w:eastAsia="黑体"/>
          <w:sz w:val="44"/>
          <w:szCs w:val="44"/>
        </w:rPr>
      </w:pPr>
    </w:p>
    <w:p>
      <w:pPr>
        <w:spacing w:line="600" w:lineRule="exact"/>
        <w:jc w:val="center"/>
        <w:rPr>
          <w:rFonts w:ascii="黑体" w:hAnsi="黑体" w:eastAsia="黑体"/>
          <w:sz w:val="44"/>
          <w:szCs w:val="44"/>
        </w:rPr>
      </w:pPr>
    </w:p>
    <w:p>
      <w:pPr>
        <w:spacing w:line="600" w:lineRule="exact"/>
        <w:jc w:val="center"/>
        <w:rPr>
          <w:rFonts w:ascii="黑体" w:hAnsi="黑体" w:eastAsia="黑体"/>
          <w:sz w:val="44"/>
          <w:szCs w:val="44"/>
        </w:rPr>
      </w:pPr>
    </w:p>
    <w:bookmarkEnd w:id="70"/>
    <w:bookmarkEnd w:id="73"/>
    <w:p>
      <w:pPr>
        <w:rPr>
          <w:rFonts w:ascii="黑体" w:hAnsi="黑体" w:eastAsia="黑体"/>
          <w:sz w:val="44"/>
          <w:szCs w:val="44"/>
        </w:rPr>
      </w:pPr>
      <w:bookmarkStart w:id="74" w:name="_Toc9801"/>
      <w:bookmarkStart w:id="75" w:name="_Toc15396619"/>
      <w:bookmarkStart w:id="76" w:name="_Toc27242"/>
    </w:p>
    <w:p>
      <w:pPr>
        <w:pStyle w:val="2"/>
        <w:spacing w:before="93"/>
      </w:pPr>
    </w:p>
    <w:p>
      <w:pPr>
        <w:pStyle w:val="3"/>
        <w:spacing w:before="93"/>
      </w:pPr>
    </w:p>
    <w:p>
      <w:pPr>
        <w:pStyle w:val="3"/>
        <w:spacing w:before="93"/>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25"/>
          <w:rFonts w:hint="eastAsia" w:ascii="黑体" w:hAnsi="黑体" w:eastAsia="黑体"/>
          <w:b w:val="0"/>
        </w:rPr>
        <w:t>五部分 附表</w:t>
      </w:r>
      <w:bookmarkEnd w:id="74"/>
    </w:p>
    <w:p>
      <w:pPr>
        <w:pStyle w:val="5"/>
        <w:rPr>
          <w:rFonts w:ascii="黑体" w:hAnsi="黑体" w:eastAsia="黑体" w:cs="黑体"/>
          <w:bCs w:val="0"/>
        </w:rPr>
      </w:pPr>
      <w:r>
        <w:rPr>
          <w:rFonts w:hint="eastAsia" w:ascii="黑体" w:hAnsi="黑体" w:eastAsia="黑体" w:cs="黑体"/>
          <w:bCs w:val="0"/>
        </w:rPr>
        <w:t>一、收入支出决算总表</w:t>
      </w:r>
      <w:bookmarkEnd w:id="75"/>
      <w:bookmarkEnd w:id="76"/>
    </w:p>
    <w:p>
      <w:pPr>
        <w:pStyle w:val="5"/>
        <w:rPr>
          <w:rFonts w:ascii="黑体" w:hAnsi="黑体" w:eastAsia="黑体" w:cs="黑体"/>
          <w:bCs w:val="0"/>
        </w:rPr>
      </w:pPr>
      <w:bookmarkStart w:id="77" w:name="_Toc15396620"/>
      <w:bookmarkStart w:id="78" w:name="_Toc24431"/>
      <w:r>
        <w:rPr>
          <w:rFonts w:hint="eastAsia" w:ascii="黑体" w:hAnsi="黑体" w:eastAsia="黑体" w:cs="黑体"/>
          <w:bCs w:val="0"/>
        </w:rPr>
        <w:t>二、收入决算表</w:t>
      </w:r>
      <w:bookmarkEnd w:id="77"/>
      <w:bookmarkEnd w:id="78"/>
    </w:p>
    <w:p>
      <w:pPr>
        <w:pStyle w:val="5"/>
        <w:rPr>
          <w:rFonts w:ascii="黑体" w:hAnsi="黑体" w:eastAsia="黑体" w:cs="黑体"/>
          <w:bCs w:val="0"/>
        </w:rPr>
      </w:pPr>
      <w:bookmarkStart w:id="79" w:name="_Toc15396621"/>
      <w:bookmarkStart w:id="80" w:name="_Toc2199"/>
      <w:r>
        <w:rPr>
          <w:rFonts w:hint="eastAsia" w:ascii="黑体" w:hAnsi="黑体" w:eastAsia="黑体" w:cs="黑体"/>
          <w:bCs w:val="0"/>
        </w:rPr>
        <w:t>三、支出决算表</w:t>
      </w:r>
      <w:bookmarkEnd w:id="79"/>
      <w:bookmarkEnd w:id="80"/>
    </w:p>
    <w:p>
      <w:pPr>
        <w:pStyle w:val="5"/>
        <w:rPr>
          <w:rFonts w:ascii="黑体" w:hAnsi="黑体" w:eastAsia="黑体" w:cs="黑体"/>
          <w:bCs w:val="0"/>
        </w:rPr>
      </w:pPr>
      <w:bookmarkStart w:id="81" w:name="_Toc15396622"/>
      <w:bookmarkStart w:id="82" w:name="_Toc20266"/>
      <w:r>
        <w:rPr>
          <w:rFonts w:hint="eastAsia" w:ascii="黑体" w:hAnsi="黑体" w:eastAsia="黑体" w:cs="黑体"/>
          <w:bCs w:val="0"/>
        </w:rPr>
        <w:t>四、财政拨款收入支出决算总表</w:t>
      </w:r>
      <w:bookmarkEnd w:id="81"/>
      <w:bookmarkEnd w:id="82"/>
    </w:p>
    <w:p>
      <w:pPr>
        <w:pStyle w:val="5"/>
        <w:rPr>
          <w:rFonts w:ascii="黑体" w:hAnsi="黑体" w:eastAsia="黑体" w:cs="黑体"/>
          <w:bCs w:val="0"/>
        </w:rPr>
      </w:pPr>
      <w:bookmarkStart w:id="83" w:name="_Toc15396623"/>
      <w:bookmarkStart w:id="84" w:name="_Toc25920"/>
      <w:r>
        <w:rPr>
          <w:rFonts w:hint="eastAsia" w:ascii="黑体" w:hAnsi="黑体" w:eastAsia="黑体" w:cs="黑体"/>
          <w:bCs w:val="0"/>
        </w:rPr>
        <w:t>五、财政拨款支出决算明细表</w:t>
      </w:r>
      <w:bookmarkEnd w:id="83"/>
      <w:bookmarkEnd w:id="84"/>
      <w:bookmarkStart w:id="85" w:name="_Toc15396624"/>
    </w:p>
    <w:p>
      <w:pPr>
        <w:pStyle w:val="5"/>
        <w:rPr>
          <w:rFonts w:ascii="黑体" w:hAnsi="黑体" w:eastAsia="黑体" w:cs="黑体"/>
          <w:bCs w:val="0"/>
        </w:rPr>
      </w:pPr>
      <w:bookmarkStart w:id="86" w:name="_Toc5570"/>
      <w:r>
        <w:rPr>
          <w:rFonts w:hint="eastAsia" w:ascii="黑体" w:hAnsi="黑体" w:eastAsia="黑体" w:cs="黑体"/>
          <w:bCs w:val="0"/>
        </w:rPr>
        <w:t>六、一般公共预算财政拨款支出决算表</w:t>
      </w:r>
      <w:bookmarkEnd w:id="85"/>
      <w:bookmarkEnd w:id="86"/>
    </w:p>
    <w:p>
      <w:pPr>
        <w:pStyle w:val="5"/>
        <w:rPr>
          <w:rFonts w:ascii="黑体" w:hAnsi="黑体" w:eastAsia="黑体" w:cs="黑体"/>
          <w:bCs w:val="0"/>
        </w:rPr>
      </w:pPr>
      <w:bookmarkStart w:id="87" w:name="_Toc15396625"/>
      <w:bookmarkStart w:id="88" w:name="_Toc23388"/>
      <w:r>
        <w:rPr>
          <w:rFonts w:hint="eastAsia" w:ascii="黑体" w:hAnsi="黑体" w:eastAsia="黑体" w:cs="黑体"/>
          <w:bCs w:val="0"/>
        </w:rPr>
        <w:t>七、一般公共预算财政拨款支出决算明细表</w:t>
      </w:r>
      <w:bookmarkEnd w:id="87"/>
      <w:bookmarkEnd w:id="88"/>
    </w:p>
    <w:p>
      <w:pPr>
        <w:pStyle w:val="5"/>
        <w:rPr>
          <w:rFonts w:ascii="黑体" w:hAnsi="黑体" w:eastAsia="黑体" w:cs="黑体"/>
          <w:bCs w:val="0"/>
        </w:rPr>
      </w:pPr>
      <w:bookmarkStart w:id="89" w:name="_Toc14043"/>
      <w:bookmarkStart w:id="90" w:name="_Toc15396626"/>
      <w:r>
        <w:rPr>
          <w:rFonts w:hint="eastAsia" w:ascii="黑体" w:hAnsi="黑体" w:eastAsia="黑体" w:cs="黑体"/>
          <w:bCs w:val="0"/>
        </w:rPr>
        <w:t>八、一般公共预算财政拨款基本支出决算表</w:t>
      </w:r>
      <w:bookmarkEnd w:id="89"/>
      <w:bookmarkEnd w:id="90"/>
    </w:p>
    <w:p>
      <w:pPr>
        <w:pStyle w:val="5"/>
        <w:rPr>
          <w:rFonts w:ascii="黑体" w:hAnsi="黑体" w:eastAsia="黑体" w:cs="黑体"/>
          <w:bCs w:val="0"/>
        </w:rPr>
      </w:pPr>
      <w:bookmarkStart w:id="91" w:name="_Toc15396627"/>
      <w:bookmarkStart w:id="92" w:name="_Toc19045"/>
      <w:r>
        <w:rPr>
          <w:rFonts w:hint="eastAsia" w:ascii="黑体" w:hAnsi="黑体" w:eastAsia="黑体" w:cs="黑体"/>
          <w:bCs w:val="0"/>
        </w:rPr>
        <w:t>九、一般公共预算财政拨款项目支出决算表</w:t>
      </w:r>
      <w:bookmarkEnd w:id="91"/>
      <w:bookmarkEnd w:id="92"/>
    </w:p>
    <w:p>
      <w:pPr>
        <w:pStyle w:val="5"/>
        <w:rPr>
          <w:rFonts w:ascii="黑体" w:hAnsi="黑体" w:eastAsia="黑体" w:cs="黑体"/>
          <w:bCs w:val="0"/>
        </w:rPr>
      </w:pPr>
      <w:bookmarkStart w:id="93" w:name="_Toc23782"/>
      <w:bookmarkStart w:id="94" w:name="_Toc15396628"/>
      <w:r>
        <w:rPr>
          <w:rFonts w:hint="eastAsia" w:ascii="黑体" w:hAnsi="黑体" w:eastAsia="黑体" w:cs="黑体"/>
          <w:bCs w:val="0"/>
        </w:rPr>
        <w:t>十、一般公共预算财政拨款“三公”经费支出决算表</w:t>
      </w:r>
      <w:bookmarkEnd w:id="93"/>
      <w:bookmarkEnd w:id="94"/>
    </w:p>
    <w:p>
      <w:pPr>
        <w:pStyle w:val="5"/>
        <w:rPr>
          <w:rFonts w:ascii="黑体" w:hAnsi="黑体" w:eastAsia="黑体" w:cs="黑体"/>
          <w:bCs w:val="0"/>
        </w:rPr>
      </w:pPr>
      <w:bookmarkStart w:id="95" w:name="_Toc16505"/>
      <w:bookmarkStart w:id="96" w:name="_Toc15396629"/>
      <w:r>
        <w:rPr>
          <w:rFonts w:hint="eastAsia" w:ascii="黑体" w:hAnsi="黑体" w:eastAsia="黑体" w:cs="黑体"/>
          <w:bCs w:val="0"/>
        </w:rPr>
        <w:t>十一、政府性基金预算财政拨款收入支出决算表</w:t>
      </w:r>
      <w:bookmarkEnd w:id="95"/>
      <w:bookmarkEnd w:id="96"/>
    </w:p>
    <w:p>
      <w:pPr>
        <w:pStyle w:val="5"/>
        <w:rPr>
          <w:rFonts w:ascii="黑体" w:hAnsi="黑体" w:eastAsia="黑体" w:cs="黑体"/>
          <w:bCs w:val="0"/>
        </w:rPr>
      </w:pPr>
      <w:bookmarkStart w:id="97" w:name="_Toc32044"/>
      <w:bookmarkStart w:id="98" w:name="_Toc15396630"/>
      <w:r>
        <w:rPr>
          <w:rFonts w:hint="eastAsia" w:ascii="黑体" w:hAnsi="黑体" w:eastAsia="黑体" w:cs="黑体"/>
          <w:bCs w:val="0"/>
        </w:rPr>
        <w:t>十二、政府性基金预算财政拨款“三公”经费支出决算表</w:t>
      </w:r>
      <w:bookmarkEnd w:id="97"/>
      <w:bookmarkEnd w:id="98"/>
    </w:p>
    <w:p>
      <w:pPr>
        <w:pStyle w:val="5"/>
        <w:rPr>
          <w:rFonts w:ascii="黑体" w:hAnsi="黑体" w:eastAsia="黑体" w:cs="黑体"/>
          <w:bCs w:val="0"/>
        </w:rPr>
      </w:pPr>
      <w:bookmarkStart w:id="99" w:name="_Toc9916"/>
      <w:bookmarkStart w:id="100" w:name="_Toc15396631"/>
      <w:r>
        <w:rPr>
          <w:rFonts w:hint="eastAsia" w:ascii="黑体" w:hAnsi="黑体" w:eastAsia="黑体" w:cs="黑体"/>
          <w:bCs w:val="0"/>
        </w:rPr>
        <w:t>十三、国有资本经营预算财政拨款收入支出决算表</w:t>
      </w:r>
      <w:bookmarkEnd w:id="99"/>
      <w:bookmarkEnd w:id="100"/>
    </w:p>
    <w:p>
      <w:pPr>
        <w:rPr>
          <w:rFonts w:ascii="黑体" w:hAnsi="黑体" w:eastAsia="黑体" w:cs="黑体"/>
          <w:b/>
          <w:sz w:val="32"/>
          <w:szCs w:val="32"/>
        </w:rPr>
      </w:pPr>
      <w:r>
        <w:rPr>
          <w:rFonts w:hint="eastAsia" w:ascii="黑体" w:hAnsi="黑体" w:eastAsia="黑体" w:cs="黑体"/>
          <w:b/>
          <w:sz w:val="32"/>
          <w:szCs w:val="32"/>
        </w:rPr>
        <w:t>十四、国有资本经营预算财政拨款支出决算表</w:t>
      </w:r>
    </w:p>
    <w:sectPr>
      <w:footerReference r:id="rId7" w:type="default"/>
      <w:pgSz w:w="11906" w:h="16838"/>
      <w:pgMar w:top="1440" w:right="1800" w:bottom="1383"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F7rpKxYCAAAZBAAADgAAAAAAAAABACAAAAA1AQAAZHJzL2Uyb0RvYy54bWxQSwUGAAAAAAYA&#10;BgBZAQAAvQ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0Nzg2OGE5Njk3N2U0YmZjODIxNzAzMGM2MTE2Y2Q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174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C6B87"/>
    <w:rsid w:val="001D22D7"/>
    <w:rsid w:val="001D7531"/>
    <w:rsid w:val="001E2CD6"/>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A66"/>
    <w:rsid w:val="002D5A6E"/>
    <w:rsid w:val="002D6D05"/>
    <w:rsid w:val="002F1818"/>
    <w:rsid w:val="002F567B"/>
    <w:rsid w:val="003216A9"/>
    <w:rsid w:val="00333249"/>
    <w:rsid w:val="00335A74"/>
    <w:rsid w:val="00352F94"/>
    <w:rsid w:val="0036561B"/>
    <w:rsid w:val="0037013F"/>
    <w:rsid w:val="00380C92"/>
    <w:rsid w:val="003A484F"/>
    <w:rsid w:val="003A4883"/>
    <w:rsid w:val="003B0BE0"/>
    <w:rsid w:val="003B0C1B"/>
    <w:rsid w:val="003B688C"/>
    <w:rsid w:val="003C0291"/>
    <w:rsid w:val="003C1844"/>
    <w:rsid w:val="003C39AE"/>
    <w:rsid w:val="003C7B60"/>
    <w:rsid w:val="003D0C0F"/>
    <w:rsid w:val="003D1FB2"/>
    <w:rsid w:val="003D530C"/>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0C8C"/>
    <w:rsid w:val="005664BB"/>
    <w:rsid w:val="00566FFA"/>
    <w:rsid w:val="0057481D"/>
    <w:rsid w:val="0058486E"/>
    <w:rsid w:val="00585B33"/>
    <w:rsid w:val="0059014D"/>
    <w:rsid w:val="005B5C64"/>
    <w:rsid w:val="005C5337"/>
    <w:rsid w:val="005C6BD0"/>
    <w:rsid w:val="005D1C8B"/>
    <w:rsid w:val="005D468D"/>
    <w:rsid w:val="005D5CED"/>
    <w:rsid w:val="005E29EB"/>
    <w:rsid w:val="005F1A4C"/>
    <w:rsid w:val="00605688"/>
    <w:rsid w:val="006070AF"/>
    <w:rsid w:val="00607E6C"/>
    <w:rsid w:val="006101B1"/>
    <w:rsid w:val="00614E44"/>
    <w:rsid w:val="0062270A"/>
    <w:rsid w:val="00622830"/>
    <w:rsid w:val="00623DA0"/>
    <w:rsid w:val="00625739"/>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6F0355"/>
    <w:rsid w:val="007127B7"/>
    <w:rsid w:val="00715663"/>
    <w:rsid w:val="0071798E"/>
    <w:rsid w:val="0073361F"/>
    <w:rsid w:val="007416B6"/>
    <w:rsid w:val="00746F48"/>
    <w:rsid w:val="0075404D"/>
    <w:rsid w:val="0075736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377F"/>
    <w:rsid w:val="007F55FC"/>
    <w:rsid w:val="007F5665"/>
    <w:rsid w:val="00800112"/>
    <w:rsid w:val="00813348"/>
    <w:rsid w:val="00823F6F"/>
    <w:rsid w:val="008253BB"/>
    <w:rsid w:val="0083706E"/>
    <w:rsid w:val="008408F6"/>
    <w:rsid w:val="008423A5"/>
    <w:rsid w:val="008464A0"/>
    <w:rsid w:val="00850625"/>
    <w:rsid w:val="00853718"/>
    <w:rsid w:val="00855221"/>
    <w:rsid w:val="00857AEB"/>
    <w:rsid w:val="00860645"/>
    <w:rsid w:val="00871F71"/>
    <w:rsid w:val="00872FD8"/>
    <w:rsid w:val="00885AF4"/>
    <w:rsid w:val="008921C2"/>
    <w:rsid w:val="008939CD"/>
    <w:rsid w:val="008B768C"/>
    <w:rsid w:val="008C4DB1"/>
    <w:rsid w:val="008C4EAF"/>
    <w:rsid w:val="008C5176"/>
    <w:rsid w:val="008C7FD0"/>
    <w:rsid w:val="008E1DE7"/>
    <w:rsid w:val="008E707C"/>
    <w:rsid w:val="008F1603"/>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1988"/>
    <w:rsid w:val="009931C3"/>
    <w:rsid w:val="009B2C43"/>
    <w:rsid w:val="009B4EAE"/>
    <w:rsid w:val="009B7573"/>
    <w:rsid w:val="009C22F4"/>
    <w:rsid w:val="009C2A4B"/>
    <w:rsid w:val="009C2E98"/>
    <w:rsid w:val="009D3447"/>
    <w:rsid w:val="009D4711"/>
    <w:rsid w:val="009F1185"/>
    <w:rsid w:val="009F18CD"/>
    <w:rsid w:val="009F2A13"/>
    <w:rsid w:val="009F7527"/>
    <w:rsid w:val="00A010DB"/>
    <w:rsid w:val="00A048A0"/>
    <w:rsid w:val="00A04EB0"/>
    <w:rsid w:val="00A13CC1"/>
    <w:rsid w:val="00A16847"/>
    <w:rsid w:val="00A237D8"/>
    <w:rsid w:val="00A268C4"/>
    <w:rsid w:val="00A307CD"/>
    <w:rsid w:val="00A331C8"/>
    <w:rsid w:val="00A36034"/>
    <w:rsid w:val="00A40A00"/>
    <w:rsid w:val="00A4142F"/>
    <w:rsid w:val="00A422EB"/>
    <w:rsid w:val="00A45BB7"/>
    <w:rsid w:val="00A56DF2"/>
    <w:rsid w:val="00A56E6E"/>
    <w:rsid w:val="00A67AB5"/>
    <w:rsid w:val="00A733B2"/>
    <w:rsid w:val="00A741C2"/>
    <w:rsid w:val="00A75EAA"/>
    <w:rsid w:val="00A84616"/>
    <w:rsid w:val="00A91760"/>
    <w:rsid w:val="00A93B00"/>
    <w:rsid w:val="00A93C21"/>
    <w:rsid w:val="00A9582A"/>
    <w:rsid w:val="00AA0597"/>
    <w:rsid w:val="00AA0DC2"/>
    <w:rsid w:val="00AA0FF4"/>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A1744"/>
    <w:rsid w:val="00BB4DF0"/>
    <w:rsid w:val="00BC289F"/>
    <w:rsid w:val="00BC2D50"/>
    <w:rsid w:val="00BC5361"/>
    <w:rsid w:val="00BC5460"/>
    <w:rsid w:val="00BC6B50"/>
    <w:rsid w:val="00BD0E25"/>
    <w:rsid w:val="00BF5BD6"/>
    <w:rsid w:val="00C03E31"/>
    <w:rsid w:val="00C33E72"/>
    <w:rsid w:val="00C354B2"/>
    <w:rsid w:val="00C35554"/>
    <w:rsid w:val="00C373F0"/>
    <w:rsid w:val="00C42709"/>
    <w:rsid w:val="00C533CC"/>
    <w:rsid w:val="00C5751C"/>
    <w:rsid w:val="00C61BFC"/>
    <w:rsid w:val="00C62B85"/>
    <w:rsid w:val="00C62DD2"/>
    <w:rsid w:val="00C65438"/>
    <w:rsid w:val="00C87FD8"/>
    <w:rsid w:val="00C91381"/>
    <w:rsid w:val="00C91CBB"/>
    <w:rsid w:val="00CA607F"/>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B5E9B"/>
    <w:rsid w:val="00DC410D"/>
    <w:rsid w:val="00DC5A81"/>
    <w:rsid w:val="00DC68CA"/>
    <w:rsid w:val="00DC7CBA"/>
    <w:rsid w:val="00DD73B7"/>
    <w:rsid w:val="00DE6B5E"/>
    <w:rsid w:val="00DF28BC"/>
    <w:rsid w:val="00DF34B9"/>
    <w:rsid w:val="00E01053"/>
    <w:rsid w:val="00E07ACF"/>
    <w:rsid w:val="00E22230"/>
    <w:rsid w:val="00E331A1"/>
    <w:rsid w:val="00E33202"/>
    <w:rsid w:val="00E336A9"/>
    <w:rsid w:val="00E472B1"/>
    <w:rsid w:val="00E50624"/>
    <w:rsid w:val="00E568DF"/>
    <w:rsid w:val="00E64269"/>
    <w:rsid w:val="00E82267"/>
    <w:rsid w:val="00E853CE"/>
    <w:rsid w:val="00E867B6"/>
    <w:rsid w:val="00EA010F"/>
    <w:rsid w:val="00EB2819"/>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674BB"/>
    <w:rsid w:val="00F754A1"/>
    <w:rsid w:val="00F81FD9"/>
    <w:rsid w:val="00F841AA"/>
    <w:rsid w:val="00F84A94"/>
    <w:rsid w:val="00F87E96"/>
    <w:rsid w:val="00FA23E8"/>
    <w:rsid w:val="00FB7BE0"/>
    <w:rsid w:val="00FD3CC1"/>
    <w:rsid w:val="00FF1E02"/>
    <w:rsid w:val="00FF30B4"/>
    <w:rsid w:val="01405C46"/>
    <w:rsid w:val="015C1AB2"/>
    <w:rsid w:val="01B82FA7"/>
    <w:rsid w:val="01D96C22"/>
    <w:rsid w:val="01DC77F8"/>
    <w:rsid w:val="02F84493"/>
    <w:rsid w:val="02FE6E5A"/>
    <w:rsid w:val="03253AFD"/>
    <w:rsid w:val="03256AED"/>
    <w:rsid w:val="045C1D31"/>
    <w:rsid w:val="05677521"/>
    <w:rsid w:val="060E41DB"/>
    <w:rsid w:val="06812407"/>
    <w:rsid w:val="06D97352"/>
    <w:rsid w:val="074757AD"/>
    <w:rsid w:val="07B05960"/>
    <w:rsid w:val="07B2269D"/>
    <w:rsid w:val="07CA446B"/>
    <w:rsid w:val="09191DCA"/>
    <w:rsid w:val="09526C07"/>
    <w:rsid w:val="097F7444"/>
    <w:rsid w:val="09995076"/>
    <w:rsid w:val="0A2032A3"/>
    <w:rsid w:val="0A2543E3"/>
    <w:rsid w:val="0A6A7872"/>
    <w:rsid w:val="0A7D1B78"/>
    <w:rsid w:val="0A8D2950"/>
    <w:rsid w:val="0AE9345B"/>
    <w:rsid w:val="0AF53DB5"/>
    <w:rsid w:val="0B69457F"/>
    <w:rsid w:val="0B8A37D8"/>
    <w:rsid w:val="0CAF61E6"/>
    <w:rsid w:val="0CEF0CD8"/>
    <w:rsid w:val="0D445B34"/>
    <w:rsid w:val="0D4B4161"/>
    <w:rsid w:val="0DBB3B3A"/>
    <w:rsid w:val="0E693043"/>
    <w:rsid w:val="0EB43F87"/>
    <w:rsid w:val="0ECD05EC"/>
    <w:rsid w:val="0EE478F4"/>
    <w:rsid w:val="0EF822C3"/>
    <w:rsid w:val="0F4820E9"/>
    <w:rsid w:val="0F9A3F0B"/>
    <w:rsid w:val="0FED14FF"/>
    <w:rsid w:val="10C055FF"/>
    <w:rsid w:val="10E02E12"/>
    <w:rsid w:val="10E42944"/>
    <w:rsid w:val="118107EC"/>
    <w:rsid w:val="11946D05"/>
    <w:rsid w:val="11DD6519"/>
    <w:rsid w:val="11EA27DD"/>
    <w:rsid w:val="11FF551A"/>
    <w:rsid w:val="12766D60"/>
    <w:rsid w:val="12B10F0A"/>
    <w:rsid w:val="1319256F"/>
    <w:rsid w:val="14050425"/>
    <w:rsid w:val="14222B74"/>
    <w:rsid w:val="14C377DF"/>
    <w:rsid w:val="14E338E5"/>
    <w:rsid w:val="151B2D31"/>
    <w:rsid w:val="16BB723D"/>
    <w:rsid w:val="16BC1812"/>
    <w:rsid w:val="16C8040E"/>
    <w:rsid w:val="16E62C33"/>
    <w:rsid w:val="17770599"/>
    <w:rsid w:val="17E00B5F"/>
    <w:rsid w:val="18015F3F"/>
    <w:rsid w:val="1834712E"/>
    <w:rsid w:val="18A1557C"/>
    <w:rsid w:val="18FA4CC0"/>
    <w:rsid w:val="191403F0"/>
    <w:rsid w:val="19257F5C"/>
    <w:rsid w:val="19603A01"/>
    <w:rsid w:val="19A14650"/>
    <w:rsid w:val="19A846E9"/>
    <w:rsid w:val="1AE7531F"/>
    <w:rsid w:val="1BE8440E"/>
    <w:rsid w:val="1C0C673C"/>
    <w:rsid w:val="1C1A5657"/>
    <w:rsid w:val="1C1E6826"/>
    <w:rsid w:val="1C6101C2"/>
    <w:rsid w:val="1C8E406A"/>
    <w:rsid w:val="1D155CEE"/>
    <w:rsid w:val="1D210EF3"/>
    <w:rsid w:val="1D431671"/>
    <w:rsid w:val="1E6804A0"/>
    <w:rsid w:val="1F6405E8"/>
    <w:rsid w:val="1F9A61DE"/>
    <w:rsid w:val="1FC654C7"/>
    <w:rsid w:val="1FD97310"/>
    <w:rsid w:val="205B41FE"/>
    <w:rsid w:val="20691B7F"/>
    <w:rsid w:val="207B2334"/>
    <w:rsid w:val="20DA787E"/>
    <w:rsid w:val="20F57F95"/>
    <w:rsid w:val="21664343"/>
    <w:rsid w:val="219F72DD"/>
    <w:rsid w:val="2298179E"/>
    <w:rsid w:val="22C80936"/>
    <w:rsid w:val="230028E2"/>
    <w:rsid w:val="231548CA"/>
    <w:rsid w:val="231F1821"/>
    <w:rsid w:val="233314C7"/>
    <w:rsid w:val="2337131B"/>
    <w:rsid w:val="240371BF"/>
    <w:rsid w:val="241E307D"/>
    <w:rsid w:val="24B32756"/>
    <w:rsid w:val="2513511A"/>
    <w:rsid w:val="25C741E6"/>
    <w:rsid w:val="2603007A"/>
    <w:rsid w:val="26D06F00"/>
    <w:rsid w:val="26F471BF"/>
    <w:rsid w:val="274E5F81"/>
    <w:rsid w:val="274F0899"/>
    <w:rsid w:val="276F27B6"/>
    <w:rsid w:val="27842671"/>
    <w:rsid w:val="27EA58A7"/>
    <w:rsid w:val="282D7BAA"/>
    <w:rsid w:val="283E6EDA"/>
    <w:rsid w:val="29707805"/>
    <w:rsid w:val="297B7724"/>
    <w:rsid w:val="29FD04D3"/>
    <w:rsid w:val="2A0728FF"/>
    <w:rsid w:val="2ABE7A3E"/>
    <w:rsid w:val="2AC31382"/>
    <w:rsid w:val="2B54647E"/>
    <w:rsid w:val="2B913928"/>
    <w:rsid w:val="2C4E2AFD"/>
    <w:rsid w:val="2D0143E4"/>
    <w:rsid w:val="2E7E6DA4"/>
    <w:rsid w:val="2E9A7791"/>
    <w:rsid w:val="2EFA178C"/>
    <w:rsid w:val="303A1D50"/>
    <w:rsid w:val="303E093C"/>
    <w:rsid w:val="30B46D73"/>
    <w:rsid w:val="319F7F4E"/>
    <w:rsid w:val="327B0ED2"/>
    <w:rsid w:val="33003256"/>
    <w:rsid w:val="33216534"/>
    <w:rsid w:val="33657808"/>
    <w:rsid w:val="338163B7"/>
    <w:rsid w:val="338F00D9"/>
    <w:rsid w:val="34696909"/>
    <w:rsid w:val="355506C2"/>
    <w:rsid w:val="35566799"/>
    <w:rsid w:val="35961DD2"/>
    <w:rsid w:val="35A8316D"/>
    <w:rsid w:val="35ED3757"/>
    <w:rsid w:val="360C0C09"/>
    <w:rsid w:val="37751639"/>
    <w:rsid w:val="38C72DDF"/>
    <w:rsid w:val="3922196A"/>
    <w:rsid w:val="395F496C"/>
    <w:rsid w:val="397A617E"/>
    <w:rsid w:val="39AE70AB"/>
    <w:rsid w:val="39F5707E"/>
    <w:rsid w:val="3A95134C"/>
    <w:rsid w:val="3AF0216A"/>
    <w:rsid w:val="3C0C0783"/>
    <w:rsid w:val="3CAA4150"/>
    <w:rsid w:val="3EC3259E"/>
    <w:rsid w:val="3ED03127"/>
    <w:rsid w:val="3F9A199D"/>
    <w:rsid w:val="3F9F3A96"/>
    <w:rsid w:val="3FA17103"/>
    <w:rsid w:val="3FB422EA"/>
    <w:rsid w:val="40552625"/>
    <w:rsid w:val="40604F5C"/>
    <w:rsid w:val="41ED49D8"/>
    <w:rsid w:val="420B7071"/>
    <w:rsid w:val="42335E67"/>
    <w:rsid w:val="425B7BF2"/>
    <w:rsid w:val="42D62EAF"/>
    <w:rsid w:val="438201E7"/>
    <w:rsid w:val="43E41555"/>
    <w:rsid w:val="44401387"/>
    <w:rsid w:val="44821EA5"/>
    <w:rsid w:val="4486238E"/>
    <w:rsid w:val="44B26298"/>
    <w:rsid w:val="44CA0C21"/>
    <w:rsid w:val="450D48BE"/>
    <w:rsid w:val="450F18EC"/>
    <w:rsid w:val="45DF65BD"/>
    <w:rsid w:val="46665873"/>
    <w:rsid w:val="468A37AF"/>
    <w:rsid w:val="46F25071"/>
    <w:rsid w:val="47081233"/>
    <w:rsid w:val="47194528"/>
    <w:rsid w:val="475A473F"/>
    <w:rsid w:val="47694067"/>
    <w:rsid w:val="47AD55AE"/>
    <w:rsid w:val="47C23D1B"/>
    <w:rsid w:val="493C27E9"/>
    <w:rsid w:val="496F39ED"/>
    <w:rsid w:val="49BC64FE"/>
    <w:rsid w:val="49FF41D3"/>
    <w:rsid w:val="4B0829F8"/>
    <w:rsid w:val="4B3A10BC"/>
    <w:rsid w:val="4BE068DB"/>
    <w:rsid w:val="4BF6002B"/>
    <w:rsid w:val="4C375791"/>
    <w:rsid w:val="4C765865"/>
    <w:rsid w:val="4C9767DB"/>
    <w:rsid w:val="4CC1104E"/>
    <w:rsid w:val="4DA62712"/>
    <w:rsid w:val="4E013DEC"/>
    <w:rsid w:val="4E0D2791"/>
    <w:rsid w:val="4EBA4B6B"/>
    <w:rsid w:val="4ECE2238"/>
    <w:rsid w:val="50012F2D"/>
    <w:rsid w:val="50F204E0"/>
    <w:rsid w:val="51DB4B86"/>
    <w:rsid w:val="51F2791E"/>
    <w:rsid w:val="52736A24"/>
    <w:rsid w:val="529453FF"/>
    <w:rsid w:val="52CA0C50"/>
    <w:rsid w:val="550C718D"/>
    <w:rsid w:val="55333C3E"/>
    <w:rsid w:val="556048E1"/>
    <w:rsid w:val="566C4BDA"/>
    <w:rsid w:val="56CE4A87"/>
    <w:rsid w:val="58216D91"/>
    <w:rsid w:val="58B55FDB"/>
    <w:rsid w:val="5A22624F"/>
    <w:rsid w:val="5AF61C41"/>
    <w:rsid w:val="5B47282D"/>
    <w:rsid w:val="5C9108EC"/>
    <w:rsid w:val="5CE704FB"/>
    <w:rsid w:val="5D5372BE"/>
    <w:rsid w:val="5D5D50E4"/>
    <w:rsid w:val="5D850596"/>
    <w:rsid w:val="5D9B4391"/>
    <w:rsid w:val="5DB93D9B"/>
    <w:rsid w:val="5DF93FDB"/>
    <w:rsid w:val="5E194AEC"/>
    <w:rsid w:val="5E3C677A"/>
    <w:rsid w:val="5F1A4D0E"/>
    <w:rsid w:val="5F9B311B"/>
    <w:rsid w:val="5FDB56A6"/>
    <w:rsid w:val="5FF73573"/>
    <w:rsid w:val="60204FD1"/>
    <w:rsid w:val="60E0472F"/>
    <w:rsid w:val="61201EA8"/>
    <w:rsid w:val="613D0762"/>
    <w:rsid w:val="6162474A"/>
    <w:rsid w:val="61927F74"/>
    <w:rsid w:val="6247695E"/>
    <w:rsid w:val="63127FA5"/>
    <w:rsid w:val="6377665C"/>
    <w:rsid w:val="64621BB9"/>
    <w:rsid w:val="64CA39A1"/>
    <w:rsid w:val="65486CB5"/>
    <w:rsid w:val="657F3B1C"/>
    <w:rsid w:val="66391F1D"/>
    <w:rsid w:val="667C005C"/>
    <w:rsid w:val="667C4275"/>
    <w:rsid w:val="66B477F6"/>
    <w:rsid w:val="673E3563"/>
    <w:rsid w:val="6775042B"/>
    <w:rsid w:val="679C6C08"/>
    <w:rsid w:val="67FB5549"/>
    <w:rsid w:val="68294653"/>
    <w:rsid w:val="68851CC2"/>
    <w:rsid w:val="697D65C5"/>
    <w:rsid w:val="6A303D00"/>
    <w:rsid w:val="6B1B2333"/>
    <w:rsid w:val="6B3E7DF1"/>
    <w:rsid w:val="6BAC2A36"/>
    <w:rsid w:val="6BEA6052"/>
    <w:rsid w:val="6C4A05C8"/>
    <w:rsid w:val="6C635F46"/>
    <w:rsid w:val="6C6C7D5A"/>
    <w:rsid w:val="6D585C07"/>
    <w:rsid w:val="6DF70DF9"/>
    <w:rsid w:val="6E3B36DC"/>
    <w:rsid w:val="6E601456"/>
    <w:rsid w:val="6EDB1A70"/>
    <w:rsid w:val="708144AD"/>
    <w:rsid w:val="70C20D61"/>
    <w:rsid w:val="70F83EB3"/>
    <w:rsid w:val="71774D8A"/>
    <w:rsid w:val="71A73AE2"/>
    <w:rsid w:val="72706893"/>
    <w:rsid w:val="72734D90"/>
    <w:rsid w:val="72804FAC"/>
    <w:rsid w:val="72AB1347"/>
    <w:rsid w:val="73EB05CF"/>
    <w:rsid w:val="74561EEC"/>
    <w:rsid w:val="746D7236"/>
    <w:rsid w:val="74D32754"/>
    <w:rsid w:val="751452AC"/>
    <w:rsid w:val="757A0475"/>
    <w:rsid w:val="75814F70"/>
    <w:rsid w:val="766B1435"/>
    <w:rsid w:val="77AD393E"/>
    <w:rsid w:val="780B7492"/>
    <w:rsid w:val="781F6C6B"/>
    <w:rsid w:val="78375A8C"/>
    <w:rsid w:val="7945638E"/>
    <w:rsid w:val="79E7B28D"/>
    <w:rsid w:val="7A49604F"/>
    <w:rsid w:val="7AB70472"/>
    <w:rsid w:val="7AF02F1C"/>
    <w:rsid w:val="7B1C1F73"/>
    <w:rsid w:val="7BBF3030"/>
    <w:rsid w:val="7CA64619"/>
    <w:rsid w:val="7D7358BD"/>
    <w:rsid w:val="7DE93DD1"/>
    <w:rsid w:val="7E181304"/>
    <w:rsid w:val="7E4B0384"/>
    <w:rsid w:val="7F2E23E3"/>
    <w:rsid w:val="7F3E014D"/>
    <w:rsid w:val="7F7D1ACD"/>
    <w:rsid w:val="7F9F20EE"/>
    <w:rsid w:val="7FB67C63"/>
    <w:rsid w:val="7FEA3E31"/>
    <w:rsid w:val="7FEF6C4F"/>
    <w:rsid w:val="9E3A10E2"/>
    <w:rsid w:val="CFEF6EF0"/>
    <w:rsid w:val="D9EE56F3"/>
    <w:rsid w:val="DF7F482E"/>
    <w:rsid w:val="EFDCE58B"/>
    <w:rsid w:val="F2E1F9D4"/>
    <w:rsid w:val="F788081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2"/>
    <w:qFormat/>
    <w:uiPriority w:val="99"/>
    <w:pPr>
      <w:spacing w:beforeLines="30"/>
    </w:pPr>
    <w:rPr>
      <w:rFonts w:ascii="仿宋_GB2312" w:eastAsia="仿宋_GB2312"/>
      <w:kern w:val="0"/>
      <w:sz w:val="30"/>
    </w:rPr>
  </w:style>
  <w:style w:type="paragraph" w:styleId="3">
    <w:name w:val="Body Text First Indent"/>
    <w:basedOn w:val="2"/>
    <w:qFormat/>
    <w:uiPriority w:val="0"/>
    <w:pPr>
      <w:spacing w:line="500" w:lineRule="exact"/>
      <w:ind w:firstLine="420"/>
    </w:pPr>
    <w:rPr>
      <w:rFonts w:eastAsia="宋体"/>
      <w:sz w:val="28"/>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8"/>
    <w:semiHidden/>
    <w:unhideWhenUsed/>
    <w:qFormat/>
    <w:uiPriority w:val="99"/>
    <w:rPr>
      <w:sz w:val="18"/>
      <w:szCs w:val="18"/>
    </w:rPr>
  </w:style>
  <w:style w:type="paragraph" w:styleId="9">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字符"/>
    <w:link w:val="10"/>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字符"/>
    <w:link w:val="9"/>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字符"/>
    <w:link w:val="2"/>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字符"/>
    <w:basedOn w:val="14"/>
    <w:link w:val="4"/>
    <w:qFormat/>
    <w:uiPriority w:val="9"/>
    <w:rPr>
      <w:rFonts w:ascii="Times New Roman" w:hAnsi="Times New Roman"/>
      <w:b/>
      <w:bCs/>
      <w:kern w:val="44"/>
      <w:sz w:val="44"/>
      <w:szCs w:val="44"/>
    </w:rPr>
  </w:style>
  <w:style w:type="character" w:customStyle="1" w:styleId="26">
    <w:name w:val="标题 2 字符"/>
    <w:basedOn w:val="14"/>
    <w:link w:val="5"/>
    <w:qFormat/>
    <w:uiPriority w:val="9"/>
    <w:rPr>
      <w:rFonts w:asciiTheme="majorHAnsi" w:hAnsiTheme="majorHAnsi" w:eastAsiaTheme="majorEastAsia" w:cstheme="majorBidi"/>
      <w:b/>
      <w:bCs/>
      <w:kern w:val="2"/>
      <w:sz w:val="32"/>
      <w:szCs w:val="32"/>
    </w:rPr>
  </w:style>
  <w:style w:type="paragraph" w:customStyle="1" w:styleId="27">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字符"/>
    <w:basedOn w:val="14"/>
    <w:link w:val="8"/>
    <w:semiHidden/>
    <w:qFormat/>
    <w:uiPriority w:val="99"/>
    <w:rPr>
      <w:rFonts w:ascii="Times New Roman" w:hAnsi="Times New Roman"/>
      <w:kern w:val="2"/>
      <w:sz w:val="18"/>
      <w:szCs w:val="18"/>
    </w:rPr>
  </w:style>
  <w:style w:type="character" w:customStyle="1" w:styleId="29">
    <w:name w:val="标题 3 字符"/>
    <w:basedOn w:val="14"/>
    <w:link w:val="6"/>
    <w:qFormat/>
    <w:uiPriority w:val="9"/>
    <w:rPr>
      <w:rFonts w:ascii="Times New Roman" w:hAnsi="Times New Roman"/>
      <w:b/>
      <w:bCs/>
      <w:kern w:val="2"/>
      <w:sz w:val="32"/>
      <w:szCs w:val="32"/>
    </w:rPr>
  </w:style>
  <w:style w:type="paragraph" w:customStyle="1" w:styleId="30">
    <w:name w:val="TOC 标题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1">
    <w:name w:val="WPSOffice手动目录 1"/>
    <w:qFormat/>
    <w:uiPriority w:val="0"/>
    <w:rPr>
      <w:rFonts w:ascii="Times New Roman" w:hAnsi="Times New Roman" w:eastAsia="宋体" w:cs="Times New Roman"/>
      <w:lang w:val="en-US" w:eastAsia="zh-CN" w:bidi="ar-SA"/>
    </w:rPr>
  </w:style>
  <w:style w:type="paragraph" w:customStyle="1" w:styleId="32">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4.xml"/><Relationship Id="rId14" Type="http://schemas.openxmlformats.org/officeDocument/2006/relationships/chart" Target="charts/chart3.xml"/><Relationship Id="rId13" Type="http://schemas.openxmlformats.org/officeDocument/2006/relationships/image" Target="media/image3.emf"/><Relationship Id="rId12" Type="http://schemas.openxmlformats.org/officeDocument/2006/relationships/image" Target="media/image2.emf"/><Relationship Id="rId11" Type="http://schemas.openxmlformats.org/officeDocument/2006/relationships/image" Target="media/image1.emf"/><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E:\2021&#24180;&#20915;&#31639;&#20844;&#24320;\&#20915;&#31639;&#20844;&#24320;&#22270;&#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2021&#24180;&#20915;&#31639;&#20844;&#24320;\&#20915;&#31639;&#20844;&#24320;&#22270;&#34920;.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2021&#24180;&#20915;&#31639;&#20844;&#24320;\&#20915;&#31639;&#20844;&#24320;&#22270;&#3492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2021&#24180;&#20915;&#31639;&#20844;&#24320;\&#20915;&#31639;&#20844;&#24320;&#22270;&#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51851851851852"/>
          <c:y val="0.0263157894736842"/>
        </c:manualLayout>
      </c:layout>
      <c:overlay val="false"/>
      <c:txPr>
        <a:bodyPr rot="0" spcFirstLastPara="0" vertOverflow="ellipsis" vert="horz" wrap="square" anchor="ctr" anchorCtr="true"/>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title>
    <c:autoTitleDeleted val="false"/>
    <c:plotArea>
      <c:layout>
        <c:manualLayout>
          <c:layoutTarget val="inner"/>
          <c:xMode val="edge"/>
          <c:yMode val="edge"/>
          <c:x val="0.1545"/>
          <c:y val="0.21"/>
          <c:w val="0.82125"/>
          <c:h val="0.6225"/>
        </c:manualLayout>
      </c:layout>
      <c:barChart>
        <c:barDir val="col"/>
        <c:grouping val="stacked"/>
        <c:varyColors val="false"/>
        <c:ser>
          <c:idx val="0"/>
          <c:order val="0"/>
          <c:tx>
            <c:strRef>
              <c:f>[决算公开图表.xls]Sheet1!$A$1</c:f>
              <c:strCache>
                <c:ptCount val="1"/>
                <c:pt idx="0">
                  <c:v>收、支决算总计变动情况图</c:v>
                </c:pt>
              </c:strCache>
            </c:strRef>
          </c:tx>
          <c:spPr>
            <a:solidFill>
              <a:srgbClr val="0066CC">
                <a:alpha val="100000"/>
              </a:srgbClr>
            </a:solidFill>
            <a:ln w="12700">
              <a:solidFill>
                <a:srgbClr val="000000">
                  <a:alpha val="100000"/>
                </a:srgbClr>
              </a:solidFill>
              <a:prstDash val="solid"/>
            </a:ln>
          </c:spPr>
          <c:invertIfNegative val="false"/>
          <c:dPt>
            <c:idx val="1"/>
            <c:invertIfNegative val="false"/>
            <c:bubble3D val="false"/>
            <c:spPr>
              <a:solidFill>
                <a:srgbClr val="003366">
                  <a:alpha val="100000"/>
                </a:srgbClr>
              </a:solidFill>
              <a:ln w="3175">
                <a:solidFill>
                  <a:srgbClr val="000000">
                    <a:alpha val="100000"/>
                  </a:srgbClr>
                </a:solidFill>
                <a:prstDash val="solid"/>
              </a:ln>
            </c:spPr>
          </c:dPt>
          <c:dPt>
            <c:idx val="2"/>
            <c:invertIfNegative val="false"/>
            <c:bubble3D val="false"/>
            <c:spPr>
              <a:solidFill>
                <a:srgbClr val="800000">
                  <a:alpha val="100000"/>
                </a:srgbClr>
              </a:solidFill>
              <a:ln w="3175">
                <a:solidFill>
                  <a:srgbClr val="000000">
                    <a:alpha val="100000"/>
                  </a:srgbClr>
                </a:solidFill>
                <a:prstDash val="solid"/>
              </a:ln>
            </c:spPr>
          </c:dPt>
          <c:dLbls>
            <c:dLbl>
              <c:idx val="0"/>
              <c:delete val="true"/>
            </c:dLbl>
            <c:dLbl>
              <c:idx val="1"/>
              <c:layout>
                <c:manualLayout>
                  <c:x val="-0.00236406619385343"/>
                  <c:y val="-0.37593984962406"/>
                </c:manualLayout>
              </c:layout>
              <c:dLblPos val="ctr"/>
              <c:showLegendKey val="false"/>
              <c:showVal val="true"/>
              <c:showCatName val="false"/>
              <c:showSerName val="false"/>
              <c:showPercent val="false"/>
              <c:showBubbleSize val="false"/>
              <c:extLst>
                <c:ext xmlns:c15="http://schemas.microsoft.com/office/drawing/2012/chart" uri="{CE6537A1-D6FC-4f65-9D91-7224C49458BB}">
                  <c15:layout/>
                </c:ext>
              </c:extLst>
            </c:dLbl>
            <c:dLbl>
              <c:idx val="2"/>
              <c:layout>
                <c:manualLayout>
                  <c:x val="-0.00709219858156028"/>
                  <c:y val="-0.383458646616541"/>
                </c:manualLayout>
              </c:layout>
              <c:dLblPos val="ctr"/>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ctr"/>
            <c:showLegendKey val="false"/>
            <c:showVal val="fals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[决算公开图表.xls]Sheet1!$A$2:$A$4</c:f>
              <c:strCache>
                <c:ptCount val="3"/>
                <c:pt idx="1">
                  <c:v>2020年</c:v>
                </c:pt>
                <c:pt idx="2">
                  <c:v>2021年</c:v>
                </c:pt>
              </c:strCache>
            </c:strRef>
          </c:cat>
          <c:val>
            <c:numRef>
              <c:f>[决算公开图表.xls]Sheet1!$B$2:$B$4</c:f>
              <c:numCache>
                <c:formatCode>General</c:formatCode>
                <c:ptCount val="3"/>
                <c:pt idx="0">
                  <c:v>0</c:v>
                </c:pt>
                <c:pt idx="1">
                  <c:v>14555.4</c:v>
                </c:pt>
                <c:pt idx="2">
                  <c:v>14584.29</c:v>
                </c:pt>
              </c:numCache>
            </c:numRef>
          </c:val>
        </c:ser>
        <c:dLbls>
          <c:showLegendKey val="false"/>
          <c:showVal val="false"/>
          <c:showCatName val="false"/>
          <c:showSerName val="false"/>
          <c:showPercent val="false"/>
          <c:showBubbleSize val="false"/>
        </c:dLbls>
        <c:gapWidth val="150"/>
        <c:overlap val="100"/>
        <c:axId val="136112384"/>
        <c:axId val="136359936"/>
      </c:barChart>
      <c:catAx>
        <c:axId val="136112384"/>
        <c:scaling>
          <c:orientation val="minMax"/>
        </c:scaling>
        <c:delete val="false"/>
        <c:axPos val="b"/>
        <c:numFmt formatCode="General" sourceLinked="false"/>
        <c:majorTickMark val="in"/>
        <c:minorTickMark val="none"/>
        <c:tickLblPos val="nextTo"/>
        <c:spPr>
          <a:ln w="3175" cap="flat" cmpd="sng" algn="ctr">
            <a:solidFill>
              <a:srgbClr val="000000">
                <a:alpha val="100000"/>
              </a:srgbClr>
            </a:solidFill>
            <a:prstDash val="solid"/>
            <a:round/>
          </a:ln>
        </c:spPr>
        <c:txPr>
          <a:bodyPr rot="-60000000" spcFirstLastPara="0" vertOverflow="ellipsis" vert="horz" wrap="square" anchor="ctr" anchorCtr="true"/>
          <a:lstStyle/>
          <a:p>
            <a:pPr>
              <a:defRPr lang="zh-CN" sz="12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crossAx val="136359936"/>
        <c:crosses val="autoZero"/>
        <c:auto val="true"/>
        <c:lblAlgn val="ctr"/>
        <c:lblOffset val="100"/>
        <c:noMultiLvlLbl val="false"/>
      </c:catAx>
      <c:valAx>
        <c:axId val="136359936"/>
        <c:scaling>
          <c:orientation val="minMax"/>
        </c:scaling>
        <c:delete val="false"/>
        <c:axPos val="l"/>
        <c:majorGridlines>
          <c:spPr>
            <a:ln w="3175" cap="flat" cmpd="sng" algn="ctr">
              <a:solidFill>
                <a:srgbClr val="000000">
                  <a:alpha val="100000"/>
                </a:srgbClr>
              </a:solidFill>
              <a:prstDash val="solid"/>
              <a:round/>
            </a:ln>
          </c:spPr>
        </c:majorGridlines>
        <c:numFmt formatCode="General" sourceLinked="false"/>
        <c:majorTickMark val="in"/>
        <c:minorTickMark val="none"/>
        <c:tickLblPos val="nextTo"/>
        <c:spPr>
          <a:ln w="3175" cap="flat" cmpd="sng" algn="ctr">
            <a:solidFill>
              <a:srgbClr val="000000"/>
            </a:solidFill>
            <a:prstDash val="solid"/>
            <a:round/>
          </a:ln>
        </c:spPr>
        <c:txPr>
          <a:bodyPr rot="-60000000" spcFirstLastPara="0" vertOverflow="ellipsis" vert="horz" wrap="square" anchor="ctr" anchorCtr="true"/>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36112384"/>
        <c:crosses val="autoZero"/>
        <c:crossBetween val="between"/>
        <c:majorUnit val="2000"/>
      </c:valAx>
      <c:spPr>
        <a:solidFill>
          <a:srgbClr val="C0C0C0">
            <a:alpha val="100000"/>
          </a:srgbClr>
        </a:solidFill>
        <a:ln w="12700">
          <a:solidFill>
            <a:srgbClr val="808080">
              <a:alpha val="100000"/>
            </a:srgbClr>
          </a:solidFill>
          <a:prstDash val="solid"/>
        </a:ln>
      </c:spPr>
    </c:plotArea>
    <c:plotVisOnly val="true"/>
    <c:dispBlanksAs val="gap"/>
    <c:showDLblsOverMax val="false"/>
  </c:chart>
  <c:spPr>
    <a:solidFill>
      <a:srgbClr val="FFFFFF">
        <a:alpha val="100000"/>
      </a:srgbClr>
    </a:solidFill>
    <a:ln w="3175" cap="flat" cmpd="sng" algn="ctr">
      <a:solidFill>
        <a:srgbClr val="000000">
          <a:alpha val="100000"/>
        </a:srgbClr>
      </a:solidFill>
      <a:prstDash val="solid"/>
      <a:round/>
    </a:ln>
  </c:spPr>
  <c:txPr>
    <a:bodyPr rot="0" wrap="square" anchor="ctr" anchorCtr="true"/>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w="3175">
          <a:noFill/>
        </a:ln>
      </c:spPr>
      <c:txPr>
        <a:bodyPr rot="0" spcFirstLastPara="0" vertOverflow="ellipsis" vert="horz" wrap="square" anchor="ctr" anchorCtr="true"/>
        <a:lstStyle/>
        <a:p>
          <a:pPr>
            <a:defRPr lang="zh-CN" sz="12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title>
    <c:autoTitleDeleted val="false"/>
    <c:plotArea>
      <c:layout/>
      <c:pieChart>
        <c:varyColors val="true"/>
        <c:ser>
          <c:idx val="0"/>
          <c:order val="0"/>
          <c:tx>
            <c:strRef>
              <c:f>[决算公开图表.xls]Sheet1!$B$23</c:f>
              <c:strCache>
                <c:ptCount val="1"/>
                <c:pt idx="0">
                  <c:v>收入决算结构图</c:v>
                </c:pt>
              </c:strCache>
            </c:strRef>
          </c:tx>
          <c:spPr>
            <a:solidFill>
              <a:srgbClr val="9999FF">
                <a:alpha val="100000"/>
              </a:srgbClr>
            </a:solidFill>
            <a:ln w="12700">
              <a:solidFill>
                <a:srgbClr val="000000">
                  <a:alpha val="100000"/>
                </a:srgbClr>
              </a:solidFill>
              <a:prstDash val="solid"/>
            </a:ln>
          </c:spPr>
          <c:explosion val="0"/>
          <c:dPt>
            <c:idx val="0"/>
            <c:bubble3D val="false"/>
            <c:spPr>
              <a:solidFill>
                <a:srgbClr val="003366">
                  <a:alpha val="100000"/>
                </a:srgbClr>
              </a:solidFill>
              <a:ln w="3175">
                <a:solidFill>
                  <a:srgbClr val="000000">
                    <a:alpha val="100000"/>
                  </a:srgbClr>
                </a:solidFill>
                <a:prstDash val="solid"/>
              </a:ln>
            </c:spPr>
          </c:dPt>
          <c:dPt>
            <c:idx val="1"/>
            <c:bubble3D val="false"/>
            <c:spPr>
              <a:solidFill>
                <a:srgbClr val="993366">
                  <a:alpha val="100000"/>
                </a:srgbClr>
              </a:solidFill>
              <a:ln w="12700">
                <a:solidFill>
                  <a:srgbClr val="000000">
                    <a:alpha val="100000"/>
                  </a:srgbClr>
                </a:solidFill>
                <a:prstDash val="solid"/>
              </a:ln>
            </c:spPr>
          </c:dPt>
          <c:dPt>
            <c:idx val="2"/>
            <c:bubble3D val="false"/>
            <c:spPr>
              <a:solidFill>
                <a:srgbClr val="FFFFCC">
                  <a:alpha val="100000"/>
                </a:srgbClr>
              </a:solidFill>
              <a:ln w="12700">
                <a:solidFill>
                  <a:srgbClr val="000000">
                    <a:alpha val="100000"/>
                  </a:srgbClr>
                </a:solidFill>
                <a:prstDash val="solid"/>
              </a:ln>
            </c:spPr>
          </c:dPt>
          <c:dLbls>
            <c:spPr>
              <a:noFill/>
              <a:ln w="3175">
                <a:noFill/>
              </a:ln>
              <a:effectLst/>
            </c:spPr>
            <c:txPr>
              <a:bodyPr rot="0" spcFirstLastPara="0" vertOverflow="ellipsis" vert="horz" wrap="square" lIns="38100" tIns="19050" rIns="38100" bIns="19050" anchor="ctr" anchorCtr="true"/>
              <a:lstStyle/>
              <a:p>
                <a:pPr>
                  <a:defRPr lang="zh-CN" sz="12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rgbClr val="000000">
                          <a:alpha val="100000"/>
                        </a:srgbClr>
                      </a:solidFill>
                      <a:prstDash val="solid"/>
                      <a:round/>
                    </a:ln>
                  </c:spPr>
                </c15:leaderLines>
              </c:ext>
            </c:extLst>
          </c:dLbls>
          <c:cat>
            <c:strRef>
              <c:f>[决算公开图表.xls]Sheet1!$A$24:$A$26</c:f>
              <c:strCache>
                <c:ptCount val="3"/>
                <c:pt idx="0">
                  <c:v>一般公共预算拨款收入</c:v>
                </c:pt>
                <c:pt idx="1">
                  <c:v>事业收入</c:v>
                </c:pt>
                <c:pt idx="2">
                  <c:v>其他收入</c:v>
                </c:pt>
              </c:strCache>
            </c:strRef>
          </c:cat>
          <c:val>
            <c:numRef>
              <c:f>[决算公开图表.xls]Sheet1!$B$24:$B$26</c:f>
              <c:numCache>
                <c:formatCode>General</c:formatCode>
                <c:ptCount val="3"/>
                <c:pt idx="0">
                  <c:v>11878.45</c:v>
                </c:pt>
                <c:pt idx="1">
                  <c:v>2593.67</c:v>
                </c:pt>
                <c:pt idx="2">
                  <c:v>61.91</c:v>
                </c:pt>
              </c:numCache>
            </c:numRef>
          </c:val>
        </c:ser>
        <c:dLbls>
          <c:showLegendKey val="false"/>
          <c:showVal val="false"/>
          <c:showCatName val="false"/>
          <c:showSerName val="false"/>
          <c:showPercent val="false"/>
          <c:showBubbleSize val="false"/>
          <c:showLeaderLines val="true"/>
        </c:dLbls>
        <c:firstSliceAng val="0"/>
      </c:pieChart>
      <c:spPr>
        <a:noFill/>
        <a:ln w="3175">
          <a:noFill/>
        </a:ln>
      </c:spPr>
    </c:plotArea>
    <c:legend>
      <c:legendPos val="b"/>
      <c:layout>
        <c:manualLayout>
          <c:xMode val="edge"/>
          <c:yMode val="edge"/>
          <c:x val="0.04575"/>
          <c:y val="0.87675"/>
          <c:w val="0.9035"/>
          <c:h val="0.105"/>
        </c:manualLayout>
      </c:layout>
      <c:overlay val="false"/>
      <c:spPr>
        <a:solidFill>
          <a:srgbClr val="FFFFFF">
            <a:alpha val="100000"/>
          </a:srgbClr>
        </a:solidFill>
        <a:ln w="3175">
          <a:solidFill>
            <a:srgbClr val="000000">
              <a:alpha val="100000"/>
            </a:srgbClr>
          </a:solidFill>
          <a:prstDash val="solid"/>
        </a:ln>
      </c:spPr>
      <c:txPr>
        <a:bodyPr rot="0" spcFirstLastPara="0" vertOverflow="ellipsis" vert="horz" wrap="square" anchor="ctr" anchorCtr="true"/>
        <a:lstStyle/>
        <a:p>
          <a:pPr>
            <a:defRPr lang="zh-CN" sz="12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true"/>
    <c:dispBlanksAs val="zero"/>
    <c:showDLblsOverMax val="false"/>
  </c:chart>
  <c:spPr>
    <a:solidFill>
      <a:srgbClr val="FFFFFF">
        <a:alpha val="100000"/>
      </a:srgbClr>
    </a:solidFill>
    <a:ln w="3175" cap="flat" cmpd="sng" algn="ctr">
      <a:solidFill>
        <a:srgbClr val="000000">
          <a:alpha val="100000"/>
        </a:srgbClr>
      </a:solidFill>
      <a:prstDash val="solid"/>
      <a:round/>
    </a:ln>
  </c:spPr>
  <c:txPr>
    <a:bodyPr rot="0" wrap="square" anchor="ctr" anchorCtr="true"/>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manualLayout>
          <c:layoutTarget val="inner"/>
          <c:xMode val="edge"/>
          <c:yMode val="edge"/>
          <c:x val="0.323694444444444"/>
          <c:y val="0.212986111111111"/>
          <c:w val="0.352611111111111"/>
          <c:h val="0.587685185185185"/>
        </c:manualLayout>
      </c:layout>
      <c:pieChart>
        <c:varyColors val="true"/>
        <c:ser>
          <c:idx val="0"/>
          <c:order val="0"/>
          <c:tx>
            <c:strRef>
              <c:f>[决算公开图表.xls]Sheet1!$B$88</c:f>
              <c:strCache>
                <c:ptCount val="1"/>
                <c:pt idx="0">
                  <c:v>一般公共预算财政拨款支出决算结构</c:v>
                </c:pt>
              </c:strCache>
            </c:strRef>
          </c:tx>
          <c:spPr>
            <a:solidFill>
              <a:schemeClr val="accent1">
                <a:lumMod val="75000"/>
              </a:schemeClr>
            </a:solidFill>
          </c:spPr>
          <c:explosion val="0"/>
          <c:dPt>
            <c:idx val="0"/>
            <c:bubble3D val="false"/>
            <c:spPr>
              <a:solidFill>
                <a:schemeClr val="accent1">
                  <a:lumMod val="50000"/>
                </a:schemeClr>
              </a:solidFill>
              <a:ln w="19050">
                <a:solidFill>
                  <a:schemeClr val="lt1"/>
                </a:solidFill>
              </a:ln>
              <a:effectLst/>
            </c:spPr>
          </c:dPt>
          <c:dPt>
            <c:idx val="1"/>
            <c:bubble3D val="false"/>
            <c:spPr>
              <a:gradFill>
                <a:gsLst>
                  <a:gs pos="0">
                    <a:srgbClr val="14CD68"/>
                  </a:gs>
                  <a:gs pos="100000">
                    <a:srgbClr val="0B6E38"/>
                  </a:gs>
                </a:gsLst>
                <a:lin ang="5400000" scaled="false"/>
              </a:gradFill>
              <a:ln w="19050">
                <a:solidFill>
                  <a:schemeClr val="lt1"/>
                </a:solidFill>
              </a:ln>
              <a:effectLst/>
            </c:spPr>
          </c:dPt>
          <c:dPt>
            <c:idx val="2"/>
            <c:bubble3D val="false"/>
            <c:spPr>
              <a:gradFill>
                <a:gsLst>
                  <a:gs pos="0">
                    <a:srgbClr val="FE4444"/>
                  </a:gs>
                  <a:gs pos="100000">
                    <a:srgbClr val="832B2B"/>
                  </a:gs>
                </a:gsLst>
                <a:lin ang="5400000" scaled="false"/>
              </a:gradFill>
              <a:ln w="19050">
                <a:solidFill>
                  <a:schemeClr val="lt1"/>
                </a:solidFill>
              </a:ln>
              <a:effectLst/>
            </c:spPr>
          </c:dPt>
          <c:dLbls>
            <c:dLbl>
              <c:idx val="0"/>
              <c:layout>
                <c:manualLayout>
                  <c:x val="-0.184340020981617"/>
                  <c:y val="-0.0776933842649248"/>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0627065379989463"/>
                  <c:y val="0.0223081433096204"/>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2"/>
              <c:layout>
                <c:manualLayout>
                  <c:x val="-0.118550874029326"/>
                  <c:y val="0.0361970482881886"/>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[决算公开图表.xls]Sheet1!$A$89:$A$91</c:f>
              <c:strCache>
                <c:ptCount val="3"/>
                <c:pt idx="0">
                  <c:v>教育支出（类）</c:v>
                </c:pt>
                <c:pt idx="1">
                  <c:v>社会保障和就业（类）</c:v>
                </c:pt>
                <c:pt idx="2">
                  <c:v>卫生健康支出（类）</c:v>
                </c:pt>
              </c:strCache>
            </c:strRef>
          </c:cat>
          <c:val>
            <c:numRef>
              <c:f>[决算公开图表.xls]Sheet1!$B$89:$B$91</c:f>
              <c:numCache>
                <c:formatCode>General</c:formatCode>
                <c:ptCount val="3"/>
                <c:pt idx="0">
                  <c:v>11866.75</c:v>
                </c:pt>
                <c:pt idx="1">
                  <c:v>9.79</c:v>
                </c:pt>
                <c:pt idx="2">
                  <c:v>1.91</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manualLayout>
          <c:xMode val="edge"/>
          <c:yMode val="edge"/>
          <c:x val="0.119861111111111"/>
          <c:y val="0.888194444444444"/>
        </c:manualLayou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3175" cap="flat" cmpd="sng" algn="ctr">
      <a:solidFill>
        <a:srgbClr val="000000"/>
      </a:solidFill>
      <a:prstDash val="solid"/>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manualLayout>
          <c:layoutTarget val="inner"/>
          <c:xMode val="edge"/>
          <c:yMode val="edge"/>
          <c:x val="0.323694444444444"/>
          <c:y val="0.223402777777778"/>
          <c:w val="0.352611111111111"/>
          <c:h val="0.587685185185185"/>
        </c:manualLayout>
      </c:layout>
      <c:pieChart>
        <c:varyColors val="true"/>
        <c:ser>
          <c:idx val="0"/>
          <c:order val="0"/>
          <c:tx>
            <c:strRef>
              <c:f>[决算公开图表.xls]Sheet1!$B$106</c:f>
              <c:strCache>
                <c:ptCount val="1"/>
                <c:pt idx="0">
                  <c:v>“三公”经费财政拨款支出结构</c:v>
                </c:pt>
              </c:strCache>
            </c:strRef>
          </c:tx>
          <c:spPr>
            <a:solidFill>
              <a:schemeClr val="accent1">
                <a:lumMod val="50000"/>
              </a:schemeClr>
            </a:solidFill>
          </c:spPr>
          <c:explosion val="0"/>
          <c:dPt>
            <c:idx val="0"/>
            <c:bubble3D val="false"/>
            <c:spPr>
              <a:solidFill>
                <a:schemeClr val="accent1">
                  <a:lumMod val="50000"/>
                </a:schemeClr>
              </a:solidFill>
              <a:ln w="19050">
                <a:solidFill>
                  <a:schemeClr val="lt1"/>
                </a:solidFill>
              </a:ln>
              <a:effectLst/>
            </c:spPr>
          </c:dPt>
          <c:dPt>
            <c:idx val="1"/>
            <c:bubble3D val="false"/>
            <c:spPr>
              <a:solidFill>
                <a:schemeClr val="accent1">
                  <a:lumMod val="50000"/>
                </a:schemeClr>
              </a:solidFill>
              <a:ln w="19050">
                <a:solidFill>
                  <a:schemeClr val="lt1"/>
                </a:solidFill>
              </a:ln>
              <a:effectLst/>
            </c:spPr>
          </c:dPt>
          <c:dPt>
            <c:idx val="2"/>
            <c:bubble3D val="false"/>
            <c:spPr>
              <a:solidFill>
                <a:schemeClr val="accent1">
                  <a:lumMod val="50000"/>
                </a:schemeClr>
              </a:solidFill>
              <a:ln w="19050">
                <a:solidFill>
                  <a:schemeClr val="lt1"/>
                </a:solidFill>
              </a:ln>
              <a:effectLst/>
            </c:spPr>
          </c:dPt>
          <c:dLbls>
            <c:dLbl>
              <c:idx val="0"/>
              <c:delete val="true"/>
            </c:dLbl>
            <c:dLbl>
              <c:idx val="1"/>
              <c:layout/>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extLst>
                <c:ext xmlns:c15="http://schemas.microsoft.com/office/drawing/2012/chart" uri="{CE6537A1-D6FC-4f65-9D91-7224C49458BB}"/>
              </c:extLst>
            </c:dLbl>
            <c:dLbl>
              <c:idx val="2"/>
              <c:delete val="true"/>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fals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[决算公开图表.xls]Sheet1!$A$107:$A$109</c:f>
              <c:strCache>
                <c:ptCount val="3"/>
                <c:pt idx="0">
                  <c:v>因公出国（境）经费</c:v>
                </c:pt>
                <c:pt idx="1">
                  <c:v>公务用车购置及运行维护费</c:v>
                </c:pt>
                <c:pt idx="2">
                  <c:v>公务接待费</c:v>
                </c:pt>
              </c:strCache>
            </c:strRef>
          </c:cat>
          <c:val>
            <c:numRef>
              <c:f>[决算公开图表.xls]Sheet1!$B$107:$B$109</c:f>
              <c:numCache>
                <c:formatCode>General</c:formatCode>
                <c:ptCount val="3"/>
                <c:pt idx="0">
                  <c:v>0</c:v>
                </c:pt>
                <c:pt idx="1">
                  <c:v>17.8</c:v>
                </c:pt>
                <c:pt idx="2">
                  <c:v>0</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fals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37</Pages>
  <Words>14155</Words>
  <Characters>15626</Characters>
  <Lines>139</Lines>
  <Paragraphs>39</Paragraphs>
  <TotalTime>4</TotalTime>
  <ScaleCrop>false</ScaleCrop>
  <LinksUpToDate>false</LinksUpToDate>
  <CharactersWithSpaces>15878</CharactersWithSpaces>
  <Application>WPS Office_11.8.2.9793_F1E327BC-269C-435d-A152-05C5408002CA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2020-08-06T17:49:00Z</dcterms:created>
  <dc:creator>曹颖</dc:creator>
  <cp:lastModifiedBy>user</cp:lastModifiedBy>
  <cp:lastPrinted>2022-08-07T18:23:00Z</cp:lastPrinted>
  <dcterms:modified xsi:type="dcterms:W3CDTF">2023-09-19T10:51:07Z</dcterms:modified>
  <dc:title>四川省***</dc:title>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y fmtid="{D5CDD505-2E9C-101B-9397-08002B2CF9AE}" pid="3" name="ICV">
    <vt:lpwstr>07807582E557472790AFB6E244D3791F_13</vt:lpwstr>
  </property>
</Properties>
</file>