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96475"/>
      <w:bookmarkStart w:id="3" w:name="_Toc15377193"/>
      <w:bookmarkStart w:id="4" w:name="_Toc15377425"/>
      <w:bookmarkStart w:id="5" w:name="_Toc20793"/>
      <w:bookmarkStart w:id="6" w:name="_Toc15378441"/>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bookmarkEnd w:id="6"/>
    </w:p>
    <w:bookmarkEnd w:id="0"/>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1494"/>
      <w:bookmarkStart w:id="8" w:name="_Toc15377194"/>
      <w:bookmarkStart w:id="9" w:name="_Toc15378442"/>
      <w:bookmarkStart w:id="10" w:name="_Toc15306268"/>
      <w:bookmarkStart w:id="11" w:name="_Toc15396476"/>
      <w:bookmarkStart w:id="12" w:name="_Toc15396598"/>
      <w:bookmarkStart w:id="13" w:name="_Toc15377426"/>
      <w:r>
        <w:rPr>
          <w:rFonts w:hint="eastAsia" w:ascii="方正小标宋简体" w:hAnsi="方正小标宋简体" w:eastAsia="方正小标宋简体" w:cs="方正小标宋简体"/>
          <w:sz w:val="72"/>
          <w:szCs w:val="72"/>
        </w:rPr>
        <w:t>四川省国际经济</w:t>
      </w:r>
      <w:bookmarkEnd w:id="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4" w:name="_Toc8911"/>
      <w:r>
        <w:rPr>
          <w:rFonts w:hint="eastAsia" w:ascii="方正小标宋简体" w:hAnsi="方正小标宋简体" w:eastAsia="方正小标宋简体" w:cs="方正小标宋简体"/>
          <w:sz w:val="72"/>
          <w:szCs w:val="72"/>
        </w:rPr>
        <w:t>贸易研究所单位决算</w:t>
      </w:r>
      <w:bookmarkEnd w:id="8"/>
      <w:bookmarkEnd w:id="9"/>
      <w:bookmarkEnd w:id="10"/>
      <w:bookmarkEnd w:id="11"/>
      <w:bookmarkEnd w:id="12"/>
      <w:bookmarkEnd w:id="13"/>
      <w:bookmarkEnd w:id="14"/>
    </w:p>
    <w:p>
      <w:pPr>
        <w:pStyle w:val="29"/>
        <w:spacing w:before="0" w:line="240" w:lineRule="auto"/>
        <w:jc w:val="center"/>
        <w:rPr>
          <w:rFonts w:ascii="Times New Roman" w:hAnsi="Times New Roman" w:eastAsia="宋体" w:cs="Times New Roman"/>
          <w:b w:val="0"/>
          <w:bCs w:val="0"/>
          <w:color w:val="auto"/>
          <w:kern w:val="2"/>
          <w:sz w:val="21"/>
          <w:szCs w:val="24"/>
          <w:lang w:val="zh-CN"/>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sdt>
      <w:sdtPr>
        <w:rPr>
          <w:rFonts w:ascii="Times New Roman" w:hAnsi="Times New Roman" w:eastAsia="宋体" w:cs="Times New Roman"/>
          <w:b w:val="0"/>
          <w:bCs w:val="0"/>
          <w:color w:val="auto"/>
          <w:kern w:val="2"/>
          <w:sz w:val="21"/>
          <w:szCs w:val="24"/>
          <w:lang w:val="zh-CN"/>
        </w:rPr>
        <w:id w:val="7356578"/>
        <w:docPartObj>
          <w:docPartGallery w:val="Table of Contents"/>
          <w:docPartUnique/>
        </w:docPartObj>
      </w:sdtPr>
      <w:sdtEndPr>
        <w:rPr>
          <w:rFonts w:ascii="Times New Roman" w:hAnsi="Times New Roman" w:eastAsia="宋体" w:cs="Times New Roman"/>
          <w:b w:val="0"/>
          <w:bCs w:val="0"/>
          <w:color w:val="auto"/>
          <w:kern w:val="2"/>
          <w:sz w:val="21"/>
          <w:szCs w:val="24"/>
          <w:lang w:val="en-US"/>
        </w:rPr>
      </w:sdtEndPr>
      <w:sdtContent>
        <w:p>
          <w:pPr>
            <w:pStyle w:val="29"/>
            <w:spacing w:before="0" w:line="240" w:lineRule="auto"/>
            <w:jc w:val="center"/>
          </w:pPr>
          <w:r>
            <w:rPr>
              <w:rFonts w:ascii="黑体" w:hAnsi="黑体" w:eastAsia="黑体"/>
              <w:b w:val="0"/>
              <w:color w:val="auto"/>
              <w:sz w:val="48"/>
              <w:szCs w:val="48"/>
              <w:lang w:val="zh-CN"/>
            </w:rPr>
            <w:t>目录</w:t>
          </w:r>
        </w:p>
        <w:p>
          <w:pPr>
            <w:pStyle w:val="10"/>
          </w:pPr>
        </w:p>
        <w:p>
          <w:pPr>
            <w:pStyle w:val="10"/>
          </w:pPr>
          <w:r>
            <w:rPr>
              <w:rFonts w:hint="eastAsia"/>
            </w:rPr>
            <w:t>公开时间：2022年9月9日</w:t>
          </w:r>
        </w:p>
        <w:p>
          <w:pPr>
            <w:pStyle w:val="10"/>
            <w:tabs>
              <w:tab w:val="right" w:leader="dot" w:pos="8306"/>
              <w:tab w:val="clear" w:pos="8296"/>
            </w:tabs>
          </w:pPr>
          <w:r>
            <w:fldChar w:fldCharType="begin"/>
          </w:r>
          <w:r>
            <w:instrText xml:space="preserve"> TOC \o "1-3" \h \z \u </w:instrText>
          </w:r>
          <w:r>
            <w:fldChar w:fldCharType="separate"/>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_Toc8117 </w:instrText>
          </w:r>
          <w:r>
            <w:fldChar w:fldCharType="separate"/>
          </w:r>
          <w:r>
            <w:rPr>
              <w:rFonts w:hint="eastAsia" w:ascii="仿宋" w:hAnsi="仿宋" w:eastAsia="仿宋" w:cs="仿宋"/>
              <w:sz w:val="24"/>
              <w:szCs w:val="24"/>
            </w:rPr>
            <w:t>第一部分 单位</w:t>
          </w:r>
          <w:r>
            <w:rPr>
              <w:rFonts w:hint="eastAsia" w:ascii="仿宋" w:hAnsi="仿宋" w:eastAsia="仿宋" w:cs="仿宋"/>
              <w:bCs w:val="0"/>
              <w:sz w:val="24"/>
              <w:szCs w:val="24"/>
            </w:rPr>
            <w:t>概况</w:t>
          </w:r>
          <w:r>
            <w:tab/>
          </w:r>
          <w:r>
            <w:fldChar w:fldCharType="begin"/>
          </w:r>
          <w:r>
            <w:instrText xml:space="preserve"> PAGEREF _Toc8117 \h </w:instrText>
          </w:r>
          <w:r>
            <w:fldChar w:fldCharType="separate"/>
          </w:r>
          <w:r>
            <w:t>1</w:t>
          </w:r>
          <w:r>
            <w:fldChar w:fldCharType="end"/>
          </w:r>
          <w: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_Toc24783 </w:instrText>
          </w:r>
          <w:r>
            <w:fldChar w:fldCharType="separate"/>
          </w:r>
          <w:r>
            <w:rPr>
              <w:rFonts w:hint="eastAsia" w:ascii="宋体" w:hAnsi="宋体" w:eastAsia="宋体" w:cs="宋体"/>
              <w:sz w:val="24"/>
              <w:szCs w:val="24"/>
              <w:lang w:eastAsia="zh-CN"/>
            </w:rPr>
            <w:t>一、 职能简介</w:t>
          </w:r>
          <w:r>
            <w:tab/>
          </w:r>
          <w:r>
            <w:fldChar w:fldCharType="begin"/>
          </w:r>
          <w:r>
            <w:instrText xml:space="preserve"> PAGEREF _Toc24783 \h </w:instrText>
          </w:r>
          <w:r>
            <w:fldChar w:fldCharType="separate"/>
          </w:r>
          <w:r>
            <w:t>1</w:t>
          </w:r>
          <w:r>
            <w:fldChar w:fldCharType="end"/>
          </w:r>
          <w: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_Toc18967 </w:instrText>
          </w:r>
          <w:r>
            <w:fldChar w:fldCharType="separate"/>
          </w:r>
          <w:r>
            <w:rPr>
              <w:rFonts w:hint="eastAsia" w:ascii="宋体" w:hAnsi="宋体" w:eastAsia="宋体" w:cs="宋体"/>
              <w:sz w:val="24"/>
              <w:szCs w:val="24"/>
              <w:lang w:eastAsia="zh-CN"/>
            </w:rPr>
            <w:t>二、2021年重点工作完成情况</w:t>
          </w:r>
          <w:r>
            <w:tab/>
          </w:r>
          <w:r>
            <w:fldChar w:fldCharType="begin"/>
          </w:r>
          <w:r>
            <w:instrText xml:space="preserve"> PAGEREF _Toc18967 \h </w:instrText>
          </w:r>
          <w:r>
            <w:fldChar w:fldCharType="separate"/>
          </w:r>
          <w:r>
            <w:t>1</w:t>
          </w:r>
          <w:r>
            <w:fldChar w:fldCharType="end"/>
          </w:r>
          <w: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_Toc19703 </w:instrText>
          </w:r>
          <w:r>
            <w:fldChar w:fldCharType="separate"/>
          </w:r>
          <w:r>
            <w:rPr>
              <w:rFonts w:hint="eastAsia" w:ascii="宋体" w:hAnsi="宋体" w:eastAsia="宋体" w:cs="宋体"/>
              <w:sz w:val="24"/>
              <w:szCs w:val="24"/>
              <w:lang w:eastAsia="zh-CN"/>
            </w:rPr>
            <w:t>三</w:t>
          </w:r>
          <w:r>
            <w:rPr>
              <w:rFonts w:hint="eastAsia" w:ascii="宋体" w:hAnsi="宋体" w:eastAsia="宋体" w:cs="宋体"/>
              <w:sz w:val="24"/>
              <w:szCs w:val="24"/>
            </w:rPr>
            <w:t>、</w:t>
          </w:r>
          <w:r>
            <w:rPr>
              <w:rFonts w:hint="eastAsia" w:ascii="宋体" w:hAnsi="宋体" w:eastAsia="宋体" w:cs="宋体"/>
              <w:sz w:val="24"/>
              <w:szCs w:val="24"/>
              <w:lang w:eastAsia="zh-CN"/>
            </w:rPr>
            <w:t>机构设置情况</w:t>
          </w:r>
          <w:r>
            <w:tab/>
          </w:r>
          <w:r>
            <w:fldChar w:fldCharType="begin"/>
          </w:r>
          <w:r>
            <w:instrText xml:space="preserve"> PAGEREF _Toc19703 \h </w:instrText>
          </w:r>
          <w:r>
            <w:fldChar w:fldCharType="separate"/>
          </w:r>
          <w:r>
            <w:t>3</w:t>
          </w:r>
          <w:r>
            <w:fldChar w:fldCharType="end"/>
          </w:r>
          <w: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_Toc23790 </w:instrText>
          </w:r>
          <w:r>
            <w:fldChar w:fldCharType="separate"/>
          </w:r>
          <w:r>
            <w:rPr>
              <w:rFonts w:hint="eastAsia" w:ascii="仿宋" w:hAnsi="仿宋" w:eastAsia="仿宋" w:cs="仿宋"/>
              <w:sz w:val="24"/>
              <w:szCs w:val="24"/>
            </w:rPr>
            <w:t>第二部分 2021年度单位决算情况说明</w:t>
          </w:r>
          <w:r>
            <w:tab/>
          </w:r>
          <w:r>
            <w:fldChar w:fldCharType="begin"/>
          </w:r>
          <w:r>
            <w:instrText xml:space="preserve"> PAGEREF _Toc23790 \h </w:instrText>
          </w:r>
          <w:r>
            <w:fldChar w:fldCharType="separate"/>
          </w:r>
          <w:r>
            <w:t>4</w:t>
          </w:r>
          <w:r>
            <w:fldChar w:fldCharType="end"/>
          </w:r>
          <w: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_Toc13174 </w:instrText>
          </w:r>
          <w:r>
            <w:fldChar w:fldCharType="separate"/>
          </w:r>
          <w:r>
            <w:rPr>
              <w:rFonts w:hint="default" w:ascii="宋体" w:hAnsi="宋体" w:eastAsia="宋体" w:cs="宋体"/>
              <w:sz w:val="24"/>
              <w:szCs w:val="24"/>
            </w:rPr>
            <w:t xml:space="preserve">一、 </w:t>
          </w:r>
          <w:r>
            <w:rPr>
              <w:rFonts w:hint="eastAsia" w:ascii="宋体" w:hAnsi="宋体" w:eastAsia="宋体" w:cs="宋体"/>
              <w:sz w:val="24"/>
              <w:szCs w:val="24"/>
            </w:rPr>
            <w:t>收入支出决算总体情况说明</w:t>
          </w:r>
          <w:r>
            <w:tab/>
          </w:r>
          <w:r>
            <w:fldChar w:fldCharType="begin"/>
          </w:r>
          <w:r>
            <w:instrText xml:space="preserve"> PAGEREF _Toc13174 \h </w:instrText>
          </w:r>
          <w:r>
            <w:fldChar w:fldCharType="separate"/>
          </w:r>
          <w:r>
            <w:t>4</w:t>
          </w:r>
          <w:r>
            <w:fldChar w:fldCharType="end"/>
          </w:r>
          <w: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_Toc27655 </w:instrText>
          </w:r>
          <w:r>
            <w:fldChar w:fldCharType="separate"/>
          </w:r>
          <w:r>
            <w:rPr>
              <w:rFonts w:hint="default" w:ascii="宋体" w:hAnsi="宋体" w:eastAsia="宋体" w:cs="宋体"/>
              <w:sz w:val="24"/>
              <w:szCs w:val="24"/>
            </w:rPr>
            <w:t xml:space="preserve">二、 </w:t>
          </w:r>
          <w:r>
            <w:rPr>
              <w:rFonts w:hint="eastAsia" w:ascii="宋体" w:hAnsi="宋体" w:eastAsia="宋体" w:cs="宋体"/>
              <w:sz w:val="24"/>
              <w:szCs w:val="24"/>
            </w:rPr>
            <w:t>收入决算情况说明</w:t>
          </w:r>
          <w:r>
            <w:tab/>
          </w:r>
          <w:r>
            <w:fldChar w:fldCharType="begin"/>
          </w:r>
          <w:r>
            <w:instrText xml:space="preserve"> PAGEREF _Toc27655 \h </w:instrText>
          </w:r>
          <w:r>
            <w:fldChar w:fldCharType="separate"/>
          </w:r>
          <w:r>
            <w:t>4</w:t>
          </w:r>
          <w:r>
            <w:fldChar w:fldCharType="end"/>
          </w:r>
          <w: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_Toc30802 </w:instrText>
          </w:r>
          <w:r>
            <w:fldChar w:fldCharType="separate"/>
          </w:r>
          <w:r>
            <w:rPr>
              <w:rFonts w:hint="default" w:ascii="宋体" w:hAnsi="宋体" w:eastAsia="宋体" w:cs="宋体"/>
              <w:sz w:val="24"/>
              <w:szCs w:val="24"/>
            </w:rPr>
            <w:t xml:space="preserve">三、 </w:t>
          </w:r>
          <w:r>
            <w:rPr>
              <w:rFonts w:hint="eastAsia" w:ascii="宋体" w:hAnsi="宋体" w:eastAsia="宋体" w:cs="宋体"/>
              <w:sz w:val="24"/>
              <w:szCs w:val="24"/>
            </w:rPr>
            <w:t>支出决算情况说明</w:t>
          </w:r>
          <w:r>
            <w:tab/>
          </w:r>
          <w:r>
            <w:fldChar w:fldCharType="begin"/>
          </w:r>
          <w:r>
            <w:instrText xml:space="preserve"> PAGEREF _Toc30802 \h </w:instrText>
          </w:r>
          <w:r>
            <w:fldChar w:fldCharType="separate"/>
          </w:r>
          <w:r>
            <w:t>5</w:t>
          </w:r>
          <w:r>
            <w:fldChar w:fldCharType="end"/>
          </w:r>
          <w: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_Toc5406 </w:instrText>
          </w:r>
          <w:r>
            <w:fldChar w:fldCharType="separate"/>
          </w:r>
          <w:r>
            <w:rPr>
              <w:rFonts w:hint="eastAsia" w:ascii="宋体" w:hAnsi="宋体" w:eastAsia="宋体" w:cs="宋体"/>
              <w:sz w:val="24"/>
              <w:szCs w:val="24"/>
            </w:rPr>
            <w:t>四、财政拨款收入支出决算总体情况说明</w:t>
          </w:r>
          <w:r>
            <w:tab/>
          </w:r>
          <w:r>
            <w:fldChar w:fldCharType="begin"/>
          </w:r>
          <w:r>
            <w:instrText xml:space="preserve"> PAGEREF _Toc5406 \h </w:instrText>
          </w:r>
          <w:r>
            <w:fldChar w:fldCharType="separate"/>
          </w:r>
          <w:r>
            <w:t>5</w:t>
          </w:r>
          <w:r>
            <w:fldChar w:fldCharType="end"/>
          </w:r>
          <w: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_Toc4172 </w:instrText>
          </w:r>
          <w:r>
            <w:fldChar w:fldCharType="separate"/>
          </w:r>
          <w:r>
            <w:rPr>
              <w:rFonts w:hint="eastAsia" w:ascii="宋体" w:hAnsi="宋体" w:eastAsia="宋体" w:cs="宋体"/>
              <w:sz w:val="24"/>
              <w:szCs w:val="24"/>
            </w:rPr>
            <w:t>五、一般公共预算财政拨款支出决算情况说明</w:t>
          </w:r>
          <w:r>
            <w:tab/>
          </w:r>
          <w:r>
            <w:fldChar w:fldCharType="begin"/>
          </w:r>
          <w:r>
            <w:instrText xml:space="preserve"> PAGEREF _Toc4172 \h </w:instrText>
          </w:r>
          <w:r>
            <w:fldChar w:fldCharType="separate"/>
          </w:r>
          <w:r>
            <w:t>6</w:t>
          </w:r>
          <w:r>
            <w:fldChar w:fldCharType="end"/>
          </w:r>
          <w: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_Toc21353 </w:instrText>
          </w:r>
          <w:r>
            <w:fldChar w:fldCharType="separate"/>
          </w:r>
          <w:r>
            <w:rPr>
              <w:rFonts w:hint="eastAsia" w:ascii="宋体" w:hAnsi="宋体" w:eastAsia="宋体" w:cs="宋体"/>
              <w:sz w:val="24"/>
              <w:szCs w:val="24"/>
            </w:rPr>
            <w:t>六、一般公共预算财政拨款基本支出决算情况说明</w:t>
          </w:r>
          <w:r>
            <w:tab/>
          </w:r>
          <w:r>
            <w:fldChar w:fldCharType="begin"/>
          </w:r>
          <w:r>
            <w:instrText xml:space="preserve"> PAGEREF _Toc21353 \h </w:instrText>
          </w:r>
          <w:r>
            <w:fldChar w:fldCharType="separate"/>
          </w:r>
          <w:r>
            <w:t>9</w:t>
          </w:r>
          <w:r>
            <w:fldChar w:fldCharType="end"/>
          </w:r>
          <w: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_Toc8276 </w:instrText>
          </w:r>
          <w:r>
            <w:fldChar w:fldCharType="separate"/>
          </w:r>
          <w:r>
            <w:rPr>
              <w:rFonts w:hint="eastAsia" w:ascii="宋体" w:hAnsi="宋体" w:eastAsia="宋体" w:cs="宋体"/>
              <w:sz w:val="24"/>
              <w:szCs w:val="24"/>
            </w:rPr>
            <w:t>七、“三公”经费财政拨款支出决算情况说明</w:t>
          </w:r>
          <w:r>
            <w:tab/>
          </w:r>
          <w:r>
            <w:fldChar w:fldCharType="begin"/>
          </w:r>
          <w:r>
            <w:instrText xml:space="preserve"> PAGEREF _Toc8276 \h </w:instrText>
          </w:r>
          <w:r>
            <w:fldChar w:fldCharType="separate"/>
          </w:r>
          <w:r>
            <w:t>10</w:t>
          </w:r>
          <w:r>
            <w:fldChar w:fldCharType="end"/>
          </w:r>
          <w: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_Toc8322 </w:instrText>
          </w:r>
          <w:r>
            <w:fldChar w:fldCharType="separate"/>
          </w:r>
          <w:r>
            <w:rPr>
              <w:rFonts w:hint="eastAsia" w:ascii="宋体" w:hAnsi="宋体" w:eastAsia="宋体" w:cs="宋体"/>
              <w:sz w:val="24"/>
              <w:szCs w:val="24"/>
            </w:rPr>
            <w:t>八、政府性基金预算支出决算情况说明</w:t>
          </w:r>
          <w:r>
            <w:tab/>
          </w:r>
          <w:r>
            <w:fldChar w:fldCharType="begin"/>
          </w:r>
          <w:r>
            <w:instrText xml:space="preserve"> PAGEREF _Toc8322 \h </w:instrText>
          </w:r>
          <w:r>
            <w:fldChar w:fldCharType="separate"/>
          </w:r>
          <w:r>
            <w:t>12</w:t>
          </w:r>
          <w:r>
            <w:fldChar w:fldCharType="end"/>
          </w:r>
          <w: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_Toc2706 </w:instrText>
          </w:r>
          <w:r>
            <w:fldChar w:fldCharType="separate"/>
          </w:r>
          <w:r>
            <w:rPr>
              <w:rFonts w:hint="eastAsia" w:ascii="宋体" w:hAnsi="宋体" w:eastAsia="宋体" w:cs="宋体"/>
              <w:sz w:val="24"/>
              <w:szCs w:val="24"/>
            </w:rPr>
            <w:t>九、 国有资本经营预算支出决算情况说明</w:t>
          </w:r>
          <w:r>
            <w:tab/>
          </w:r>
          <w:r>
            <w:fldChar w:fldCharType="begin"/>
          </w:r>
          <w:r>
            <w:instrText xml:space="preserve"> PAGEREF _Toc2706 \h </w:instrText>
          </w:r>
          <w:r>
            <w:fldChar w:fldCharType="separate"/>
          </w:r>
          <w:r>
            <w:t>12</w:t>
          </w:r>
          <w:r>
            <w:fldChar w:fldCharType="end"/>
          </w:r>
          <w: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_Toc12843 </w:instrText>
          </w:r>
          <w:r>
            <w:fldChar w:fldCharType="separate"/>
          </w:r>
          <w:r>
            <w:rPr>
              <w:rFonts w:hint="eastAsia" w:ascii="宋体" w:hAnsi="宋体" w:eastAsia="宋体" w:cs="宋体"/>
              <w:sz w:val="24"/>
              <w:szCs w:val="24"/>
            </w:rPr>
            <w:t>十、 其他重要事项的情况说明</w:t>
          </w:r>
          <w:r>
            <w:tab/>
          </w:r>
          <w:r>
            <w:fldChar w:fldCharType="begin"/>
          </w:r>
          <w:r>
            <w:instrText xml:space="preserve"> PAGEREF _Toc12843 \h </w:instrText>
          </w:r>
          <w:r>
            <w:fldChar w:fldCharType="separate"/>
          </w:r>
          <w:r>
            <w:t>12</w:t>
          </w:r>
          <w:r>
            <w:fldChar w:fldCharType="end"/>
          </w:r>
          <w: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_Toc9405 </w:instrText>
          </w:r>
          <w:r>
            <w:fldChar w:fldCharType="separate"/>
          </w:r>
          <w:r>
            <w:rPr>
              <w:rFonts w:hint="eastAsia" w:ascii="仿宋" w:hAnsi="仿宋" w:eastAsia="仿宋" w:cs="仿宋"/>
              <w:sz w:val="24"/>
              <w:szCs w:val="24"/>
            </w:rPr>
            <w:t>第三部分 名词解释</w:t>
          </w:r>
          <w:r>
            <w:tab/>
          </w:r>
          <w:r>
            <w:fldChar w:fldCharType="begin"/>
          </w:r>
          <w:r>
            <w:instrText xml:space="preserve"> PAGEREF _Toc9405 \h </w:instrText>
          </w:r>
          <w:r>
            <w:fldChar w:fldCharType="separate"/>
          </w:r>
          <w:r>
            <w:t>14</w:t>
          </w:r>
          <w:r>
            <w:fldChar w:fldCharType="end"/>
          </w:r>
          <w: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_Toc20853 </w:instrText>
          </w:r>
          <w:r>
            <w:fldChar w:fldCharType="separate"/>
          </w:r>
          <w:r>
            <w:rPr>
              <w:rFonts w:hint="eastAsia" w:ascii="仿宋" w:hAnsi="仿宋" w:eastAsia="仿宋" w:cs="仿宋"/>
              <w:sz w:val="24"/>
              <w:szCs w:val="24"/>
            </w:rPr>
            <w:t>第四部分 附件</w:t>
          </w:r>
          <w:r>
            <w:tab/>
          </w:r>
          <w:r>
            <w:fldChar w:fldCharType="begin"/>
          </w:r>
          <w:r>
            <w:instrText xml:space="preserve"> PAGEREF _Toc20853 \h </w:instrText>
          </w:r>
          <w:r>
            <w:fldChar w:fldCharType="separate"/>
          </w:r>
          <w:r>
            <w:t>17</w:t>
          </w:r>
          <w:r>
            <w:fldChar w:fldCharType="end"/>
          </w:r>
          <w: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_Toc16020 </w:instrText>
          </w:r>
          <w:r>
            <w:fldChar w:fldCharType="separate"/>
          </w:r>
          <w:r>
            <w:rPr>
              <w:rFonts w:hint="eastAsia" w:ascii="仿宋" w:hAnsi="仿宋" w:eastAsia="仿宋" w:cs="仿宋"/>
              <w:sz w:val="24"/>
              <w:szCs w:val="24"/>
            </w:rPr>
            <w:t>第五部分 附表</w:t>
          </w:r>
          <w:r>
            <w:tab/>
          </w:r>
          <w:r>
            <w:fldChar w:fldCharType="begin"/>
          </w:r>
          <w:r>
            <w:instrText xml:space="preserve"> PAGEREF _Toc16020 \h </w:instrText>
          </w:r>
          <w:r>
            <w:fldChar w:fldCharType="separate"/>
          </w:r>
          <w:r>
            <w:t>18</w:t>
          </w:r>
          <w:r>
            <w:fldChar w:fldCharType="end"/>
          </w:r>
          <w: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_Toc19047 </w:instrText>
          </w:r>
          <w:r>
            <w:fldChar w:fldCharType="separate"/>
          </w:r>
          <w:r>
            <w:rPr>
              <w:rFonts w:hint="eastAsia" w:ascii="宋体" w:hAnsi="宋体" w:eastAsia="宋体" w:cs="宋体"/>
              <w:sz w:val="24"/>
              <w:szCs w:val="24"/>
            </w:rPr>
            <w:t>一、收</w:t>
          </w:r>
          <w:r>
            <w:rPr>
              <w:rFonts w:hint="eastAsia" w:ascii="宋体" w:hAnsi="宋体" w:eastAsia="宋体" w:cs="宋体"/>
              <w:bCs w:val="0"/>
              <w:sz w:val="24"/>
              <w:szCs w:val="24"/>
            </w:rPr>
            <w:t>入支出决算总表</w:t>
          </w:r>
          <w:r>
            <w:tab/>
          </w:r>
          <w:r>
            <w:fldChar w:fldCharType="begin"/>
          </w:r>
          <w:r>
            <w:instrText xml:space="preserve"> PAGEREF _Toc19047 \h </w:instrText>
          </w:r>
          <w:r>
            <w:fldChar w:fldCharType="separate"/>
          </w:r>
          <w:r>
            <w:t>18</w:t>
          </w:r>
          <w:r>
            <w:fldChar w:fldCharType="end"/>
          </w:r>
          <w: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_Toc7592 </w:instrText>
          </w:r>
          <w:r>
            <w:fldChar w:fldCharType="separate"/>
          </w:r>
          <w:r>
            <w:rPr>
              <w:rFonts w:hint="eastAsia" w:ascii="宋体" w:hAnsi="宋体" w:eastAsia="宋体" w:cs="宋体"/>
              <w:sz w:val="24"/>
              <w:szCs w:val="24"/>
            </w:rPr>
            <w:t>二、收</w:t>
          </w:r>
          <w:r>
            <w:rPr>
              <w:rFonts w:hint="eastAsia" w:ascii="宋体" w:hAnsi="宋体" w:eastAsia="宋体" w:cs="宋体"/>
              <w:bCs w:val="0"/>
              <w:sz w:val="24"/>
              <w:szCs w:val="24"/>
            </w:rPr>
            <w:t>入决算表</w:t>
          </w:r>
          <w:r>
            <w:tab/>
          </w:r>
          <w:r>
            <w:fldChar w:fldCharType="begin"/>
          </w:r>
          <w:r>
            <w:instrText xml:space="preserve"> PAGEREF _Toc7592 \h </w:instrText>
          </w:r>
          <w:r>
            <w:fldChar w:fldCharType="separate"/>
          </w:r>
          <w:r>
            <w:t>18</w:t>
          </w:r>
          <w:r>
            <w:fldChar w:fldCharType="end"/>
          </w:r>
          <w: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_Toc26858 </w:instrText>
          </w:r>
          <w:r>
            <w:fldChar w:fldCharType="separate"/>
          </w:r>
          <w:r>
            <w:rPr>
              <w:rFonts w:hint="eastAsia" w:ascii="宋体" w:hAnsi="宋体" w:eastAsia="宋体" w:cs="宋体"/>
              <w:sz w:val="24"/>
              <w:szCs w:val="24"/>
            </w:rPr>
            <w:t>三、支出决算表</w:t>
          </w:r>
          <w:r>
            <w:tab/>
          </w:r>
          <w:r>
            <w:fldChar w:fldCharType="begin"/>
          </w:r>
          <w:r>
            <w:instrText xml:space="preserve"> PAGEREF _Toc26858 \h </w:instrText>
          </w:r>
          <w:r>
            <w:fldChar w:fldCharType="separate"/>
          </w:r>
          <w:r>
            <w:t>18</w:t>
          </w:r>
          <w:r>
            <w:fldChar w:fldCharType="end"/>
          </w:r>
          <w: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_Toc31873 </w:instrText>
          </w:r>
          <w:r>
            <w:fldChar w:fldCharType="separate"/>
          </w:r>
          <w:r>
            <w:rPr>
              <w:rFonts w:hint="eastAsia" w:ascii="宋体" w:hAnsi="宋体" w:eastAsia="宋体" w:cs="宋体"/>
              <w:sz w:val="24"/>
              <w:szCs w:val="24"/>
            </w:rPr>
            <w:t>四、财政拨款收入支出决算总表</w:t>
          </w:r>
          <w:r>
            <w:tab/>
          </w:r>
          <w:r>
            <w:fldChar w:fldCharType="begin"/>
          </w:r>
          <w:r>
            <w:instrText xml:space="preserve"> PAGEREF _Toc31873 \h </w:instrText>
          </w:r>
          <w:r>
            <w:fldChar w:fldCharType="separate"/>
          </w:r>
          <w:r>
            <w:t>18</w:t>
          </w:r>
          <w:r>
            <w:fldChar w:fldCharType="end"/>
          </w:r>
          <w: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_Toc21589 </w:instrText>
          </w:r>
          <w:r>
            <w:fldChar w:fldCharType="separate"/>
          </w:r>
          <w:r>
            <w:rPr>
              <w:rFonts w:hint="eastAsia" w:ascii="宋体" w:hAnsi="宋体" w:eastAsia="宋体" w:cs="宋体"/>
              <w:sz w:val="24"/>
              <w:szCs w:val="24"/>
            </w:rPr>
            <w:t>五、财政拨款支出决算明细表</w:t>
          </w:r>
          <w:r>
            <w:tab/>
          </w:r>
          <w:r>
            <w:fldChar w:fldCharType="begin"/>
          </w:r>
          <w:r>
            <w:instrText xml:space="preserve"> PAGEREF _Toc21589 \h </w:instrText>
          </w:r>
          <w:r>
            <w:fldChar w:fldCharType="separate"/>
          </w:r>
          <w:r>
            <w:t>18</w:t>
          </w:r>
          <w:r>
            <w:fldChar w:fldCharType="end"/>
          </w:r>
          <w: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_Toc31997 </w:instrText>
          </w:r>
          <w:r>
            <w:fldChar w:fldCharType="separate"/>
          </w:r>
          <w:r>
            <w:rPr>
              <w:rFonts w:hint="eastAsia" w:ascii="宋体" w:hAnsi="宋体" w:eastAsia="宋体" w:cs="宋体"/>
              <w:sz w:val="24"/>
              <w:szCs w:val="24"/>
            </w:rPr>
            <w:t>六、一般公共预算财政拨款支出决算表</w:t>
          </w:r>
          <w:r>
            <w:tab/>
          </w:r>
          <w:r>
            <w:fldChar w:fldCharType="begin"/>
          </w:r>
          <w:r>
            <w:instrText xml:space="preserve"> PAGEREF _Toc31997 \h </w:instrText>
          </w:r>
          <w:r>
            <w:fldChar w:fldCharType="separate"/>
          </w:r>
          <w:r>
            <w:t>18</w:t>
          </w:r>
          <w:r>
            <w:fldChar w:fldCharType="end"/>
          </w:r>
          <w: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_Toc31434 </w:instrText>
          </w:r>
          <w:r>
            <w:fldChar w:fldCharType="separate"/>
          </w:r>
          <w:r>
            <w:rPr>
              <w:rFonts w:hint="eastAsia" w:ascii="宋体" w:hAnsi="宋体" w:eastAsia="宋体" w:cs="宋体"/>
              <w:sz w:val="24"/>
              <w:szCs w:val="24"/>
            </w:rPr>
            <w:t>七、一般公共预算财政拨款支出决算明细表</w:t>
          </w:r>
          <w:r>
            <w:tab/>
          </w:r>
          <w:r>
            <w:fldChar w:fldCharType="begin"/>
          </w:r>
          <w:r>
            <w:instrText xml:space="preserve"> PAGEREF _Toc31434 \h </w:instrText>
          </w:r>
          <w:r>
            <w:fldChar w:fldCharType="separate"/>
          </w:r>
          <w:r>
            <w:t>18</w:t>
          </w:r>
          <w:r>
            <w:fldChar w:fldCharType="end"/>
          </w:r>
          <w: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_Toc16778 </w:instrText>
          </w:r>
          <w:r>
            <w:fldChar w:fldCharType="separate"/>
          </w:r>
          <w:r>
            <w:rPr>
              <w:rFonts w:hint="eastAsia" w:ascii="宋体" w:hAnsi="宋体" w:eastAsia="宋体" w:cs="宋体"/>
              <w:sz w:val="24"/>
              <w:szCs w:val="24"/>
            </w:rPr>
            <w:t>八、一般公共预算财政拨款基本支出决算表</w:t>
          </w:r>
          <w:r>
            <w:tab/>
          </w:r>
          <w:r>
            <w:fldChar w:fldCharType="begin"/>
          </w:r>
          <w:r>
            <w:instrText xml:space="preserve"> PAGEREF _Toc16778 \h </w:instrText>
          </w:r>
          <w:r>
            <w:fldChar w:fldCharType="separate"/>
          </w:r>
          <w:r>
            <w:t>18</w:t>
          </w:r>
          <w:r>
            <w:fldChar w:fldCharType="end"/>
          </w:r>
          <w: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_Toc30340 </w:instrText>
          </w:r>
          <w:r>
            <w:fldChar w:fldCharType="separate"/>
          </w:r>
          <w:r>
            <w:rPr>
              <w:rFonts w:hint="eastAsia" w:ascii="宋体" w:hAnsi="宋体" w:eastAsia="宋体" w:cs="宋体"/>
              <w:sz w:val="24"/>
              <w:szCs w:val="24"/>
            </w:rPr>
            <w:t>九、一般公共预算财政拨款项目支出决算表</w:t>
          </w:r>
          <w:r>
            <w:tab/>
          </w:r>
          <w:r>
            <w:fldChar w:fldCharType="begin"/>
          </w:r>
          <w:r>
            <w:instrText xml:space="preserve"> PAGEREF _Toc30340 \h </w:instrText>
          </w:r>
          <w:r>
            <w:fldChar w:fldCharType="separate"/>
          </w:r>
          <w:r>
            <w:t>18</w:t>
          </w:r>
          <w:r>
            <w:fldChar w:fldCharType="end"/>
          </w:r>
          <w: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_Toc7891 </w:instrText>
          </w:r>
          <w:r>
            <w:fldChar w:fldCharType="separate"/>
          </w:r>
          <w:r>
            <w:rPr>
              <w:rFonts w:hint="eastAsia" w:ascii="宋体" w:hAnsi="宋体" w:eastAsia="宋体" w:cs="宋体"/>
              <w:sz w:val="24"/>
              <w:szCs w:val="24"/>
            </w:rPr>
            <w:t>十、一般公共预算财政拨款“三公”经费支出决算表</w:t>
          </w:r>
          <w:r>
            <w:tab/>
          </w:r>
          <w:r>
            <w:fldChar w:fldCharType="begin"/>
          </w:r>
          <w:r>
            <w:instrText xml:space="preserve"> PAGEREF _Toc7891 \h </w:instrText>
          </w:r>
          <w:r>
            <w:fldChar w:fldCharType="separate"/>
          </w:r>
          <w:r>
            <w:t>18</w:t>
          </w:r>
          <w:r>
            <w:fldChar w:fldCharType="end"/>
          </w:r>
          <w: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_Toc26466 </w:instrText>
          </w:r>
          <w:r>
            <w:fldChar w:fldCharType="separate"/>
          </w:r>
          <w:r>
            <w:rPr>
              <w:rFonts w:hint="eastAsia" w:ascii="宋体" w:hAnsi="宋体" w:eastAsia="宋体" w:cs="宋体"/>
              <w:sz w:val="24"/>
              <w:szCs w:val="24"/>
            </w:rPr>
            <w:t>十一、政府性基金预算财政拨款收入支出决算表</w:t>
          </w:r>
          <w:r>
            <w:tab/>
          </w:r>
          <w:r>
            <w:fldChar w:fldCharType="begin"/>
          </w:r>
          <w:r>
            <w:instrText xml:space="preserve"> PAGEREF _Toc26466 \h </w:instrText>
          </w:r>
          <w:r>
            <w:fldChar w:fldCharType="separate"/>
          </w:r>
          <w:r>
            <w:t>18</w:t>
          </w:r>
          <w:r>
            <w:fldChar w:fldCharType="end"/>
          </w:r>
          <w: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_Toc17330 </w:instrText>
          </w:r>
          <w:r>
            <w:fldChar w:fldCharType="separate"/>
          </w:r>
          <w:r>
            <w:rPr>
              <w:rFonts w:hint="eastAsia" w:ascii="宋体" w:hAnsi="宋体" w:eastAsia="宋体" w:cs="宋体"/>
              <w:sz w:val="24"/>
              <w:szCs w:val="24"/>
            </w:rPr>
            <w:t>十二、政府性基金预算财政拨款“三公”经费支出决算表</w:t>
          </w:r>
          <w:r>
            <w:tab/>
          </w:r>
          <w:r>
            <w:fldChar w:fldCharType="begin"/>
          </w:r>
          <w:r>
            <w:instrText xml:space="preserve"> PAGEREF _Toc17330 \h </w:instrText>
          </w:r>
          <w:r>
            <w:fldChar w:fldCharType="separate"/>
          </w:r>
          <w:r>
            <w:t>18</w:t>
          </w:r>
          <w:r>
            <w:fldChar w:fldCharType="end"/>
          </w:r>
          <w: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_Toc23931 </w:instrText>
          </w:r>
          <w:r>
            <w:fldChar w:fldCharType="separate"/>
          </w:r>
          <w:r>
            <w:rPr>
              <w:rFonts w:hint="eastAsia" w:ascii="宋体" w:hAnsi="宋体" w:eastAsia="宋体" w:cs="宋体"/>
              <w:sz w:val="24"/>
              <w:szCs w:val="24"/>
            </w:rPr>
            <w:t>十三、国有资本经营预算财政拨款收入支出决算表</w:t>
          </w:r>
          <w:r>
            <w:tab/>
          </w:r>
          <w:r>
            <w:fldChar w:fldCharType="begin"/>
          </w:r>
          <w:r>
            <w:instrText xml:space="preserve"> PAGEREF _Toc23931 \h </w:instrText>
          </w:r>
          <w:r>
            <w:fldChar w:fldCharType="separate"/>
          </w:r>
          <w:r>
            <w:t>18</w:t>
          </w:r>
          <w:r>
            <w:fldChar w:fldCharType="end"/>
          </w:r>
          <w: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pPr>
          <w:r>
            <w:fldChar w:fldCharType="begin"/>
          </w:r>
          <w:r>
            <w:instrText xml:space="preserve"> HYPERLINK \l _Toc20960 </w:instrText>
          </w:r>
          <w:r>
            <w:fldChar w:fldCharType="separate"/>
          </w:r>
          <w:r>
            <w:rPr>
              <w:rFonts w:hint="eastAsia" w:ascii="宋体" w:hAnsi="宋体" w:eastAsia="宋体" w:cs="宋体"/>
              <w:sz w:val="24"/>
              <w:szCs w:val="24"/>
            </w:rPr>
            <w:t>十四、国有资本经营预算财政拨款支出决算表</w:t>
          </w:r>
          <w:r>
            <w:tab/>
          </w:r>
          <w:r>
            <w:fldChar w:fldCharType="begin"/>
          </w:r>
          <w:r>
            <w:instrText xml:space="preserve"> PAGEREF _Toc20960 \h </w:instrText>
          </w:r>
          <w:r>
            <w:fldChar w:fldCharType="separate"/>
          </w:r>
          <w:r>
            <w:t>18</w:t>
          </w:r>
          <w:r>
            <w:fldChar w:fldCharType="end"/>
          </w:r>
          <w:r>
            <w:fldChar w:fldCharType="end"/>
          </w:r>
        </w:p>
        <w:p>
          <w:pPr>
            <w:pStyle w:val="11"/>
            <w:adjustRightInd w:val="0"/>
            <w:snapToGrid w:val="0"/>
            <w:spacing w:line="440" w:lineRule="exact"/>
            <w:jc w:val="left"/>
          </w:pPr>
          <w:r>
            <w:fldChar w:fldCharType="end"/>
          </w:r>
        </w:p>
      </w:sdtContent>
    </w:sdt>
    <w:p/>
    <w:p>
      <w:pPr>
        <w:widowControl/>
        <w:adjustRightInd w:val="0"/>
        <w:snapToGrid w:val="0"/>
        <w:spacing w:line="440" w:lineRule="exact"/>
        <w:ind w:firstLine="1320" w:firstLineChars="550"/>
        <w:jc w:val="left"/>
        <w:rPr>
          <w:rFonts w:ascii="仿宋" w:hAnsi="仿宋" w:eastAsia="仿宋"/>
          <w:sz w:val="24"/>
        </w:rPr>
      </w:pPr>
    </w:p>
    <w:p>
      <w:pPr>
        <w:pStyle w:val="3"/>
        <w:jc w:val="center"/>
        <w:rPr>
          <w:rFonts w:ascii="黑体" w:hAnsi="黑体" w:eastAsia="黑体"/>
          <w:b w:val="0"/>
        </w:rPr>
        <w:sectPr>
          <w:footerReference r:id="rId6" w:type="first"/>
          <w:footerReference r:id="rId5" w:type="default"/>
          <w:pgSz w:w="11906" w:h="16838"/>
          <w:pgMar w:top="1440" w:right="1800" w:bottom="1440" w:left="1800" w:header="851" w:footer="992" w:gutter="0"/>
          <w:pgNumType w:start="1"/>
          <w:cols w:space="425" w:num="1"/>
          <w:docGrid w:type="lines" w:linePitch="312" w:charSpace="0"/>
        </w:sectPr>
      </w:pPr>
      <w:bookmarkStart w:id="15" w:name="_Toc15377196"/>
      <w:bookmarkStart w:id="16" w:name="_Toc15396599"/>
    </w:p>
    <w:p>
      <w:pPr>
        <w:pStyle w:val="3"/>
        <w:spacing w:line="579" w:lineRule="auto"/>
        <w:jc w:val="center"/>
        <w:rPr>
          <w:rStyle w:val="24"/>
          <w:rFonts w:ascii="黑体" w:hAnsi="黑体" w:eastAsia="黑体"/>
          <w:b/>
          <w:bCs w:val="0"/>
        </w:rPr>
      </w:pPr>
      <w:bookmarkStart w:id="17" w:name="_Toc8117"/>
      <w:r>
        <w:rPr>
          <w:rFonts w:hint="eastAsia" w:ascii="黑体" w:hAnsi="黑体" w:eastAsia="黑体"/>
          <w:b w:val="0"/>
        </w:rPr>
        <w:t>第一部分 单位</w:t>
      </w:r>
      <w:r>
        <w:rPr>
          <w:rStyle w:val="24"/>
          <w:rFonts w:hint="eastAsia" w:ascii="黑体" w:hAnsi="黑体" w:eastAsia="黑体"/>
          <w:b w:val="0"/>
          <w:bCs w:val="0"/>
        </w:rPr>
        <w:t>概况</w:t>
      </w:r>
      <w:bookmarkEnd w:id="15"/>
      <w:bookmarkEnd w:id="16"/>
      <w:bookmarkEnd w:id="17"/>
    </w:p>
    <w:p>
      <w:pPr>
        <w:widowControl/>
        <w:jc w:val="left"/>
        <w:rPr>
          <w:rFonts w:ascii="黑体" w:eastAsia="黑体"/>
          <w:sz w:val="18"/>
          <w:szCs w:val="18"/>
        </w:rPr>
      </w:pPr>
    </w:p>
    <w:p>
      <w:pPr>
        <w:pStyle w:val="4"/>
        <w:spacing w:before="0" w:after="0" w:line="600" w:lineRule="exact"/>
        <w:ind w:firstLine="640" w:firstLineChars="200"/>
        <w:rPr>
          <w:rFonts w:hint="eastAsia" w:ascii="黑体" w:hAnsi="黑体" w:eastAsia="黑体"/>
          <w:b w:val="0"/>
        </w:rPr>
      </w:pPr>
      <w:bookmarkStart w:id="18" w:name="_Toc24783"/>
      <w:bookmarkStart w:id="19" w:name="_Toc15396600"/>
      <w:bookmarkStart w:id="20" w:name="_Toc15377197"/>
      <w:r>
        <w:rPr>
          <w:rFonts w:hint="eastAsia" w:ascii="黑体" w:hAnsi="黑体" w:eastAsia="黑体"/>
          <w:b w:val="0"/>
          <w:lang w:eastAsia="zh-CN"/>
        </w:rPr>
        <w:t>一、</w:t>
      </w:r>
      <w:r>
        <w:rPr>
          <w:rFonts w:hint="eastAsia" w:ascii="黑体" w:hAnsi="黑体" w:eastAsia="黑体"/>
          <w:b w:val="0"/>
        </w:rPr>
        <w:t>职能简介</w:t>
      </w:r>
      <w:bookmarkEnd w:id="18"/>
    </w:p>
    <w:p>
      <w:pPr>
        <w:keepNext/>
        <w:keepLines/>
        <w:spacing w:line="600" w:lineRule="exact"/>
        <w:ind w:firstLine="640" w:firstLineChars="200"/>
        <w:outlineLvl w:val="1"/>
        <w:rPr>
          <w:rFonts w:ascii="仿宋" w:hAnsi="仿宋" w:eastAsia="仿宋"/>
          <w:kern w:val="0"/>
          <w:sz w:val="32"/>
          <w:szCs w:val="32"/>
        </w:rPr>
      </w:pPr>
      <w:bookmarkStart w:id="21" w:name="_Toc15116"/>
      <w:r>
        <w:rPr>
          <w:rFonts w:hint="eastAsia" w:ascii="仿宋" w:hAnsi="仿宋" w:eastAsia="仿宋"/>
          <w:kern w:val="0"/>
          <w:sz w:val="32"/>
          <w:szCs w:val="32"/>
        </w:rPr>
        <w:t>四川省国际经济贸易研究所为财政全额拨款的科研事业单位，核编20人。现实有在职人员13人（其中：管理岗5级1人，管理岗8级3人，专业技术岗7级2人，专业技术岗8级1人，专业技术岗9级1人，专业技术岗10级3人，专业技术岗12级2人）；退休人员9人。</w:t>
      </w:r>
      <w:bookmarkEnd w:id="21"/>
    </w:p>
    <w:p>
      <w:pPr>
        <w:keepNext/>
        <w:keepLines/>
        <w:spacing w:line="600" w:lineRule="exact"/>
        <w:ind w:firstLine="640" w:firstLineChars="200"/>
        <w:outlineLvl w:val="1"/>
        <w:rPr>
          <w:rFonts w:ascii="仿宋" w:hAnsi="仿宋" w:eastAsia="仿宋" w:cs="仿宋"/>
          <w:sz w:val="32"/>
          <w:szCs w:val="32"/>
        </w:rPr>
      </w:pPr>
      <w:bookmarkStart w:id="22" w:name="_Toc17638"/>
      <w:r>
        <w:rPr>
          <w:rFonts w:hint="eastAsia" w:ascii="仿宋" w:hAnsi="仿宋" w:eastAsia="仿宋"/>
          <w:kern w:val="0"/>
          <w:sz w:val="32"/>
          <w:szCs w:val="32"/>
        </w:rPr>
        <w:t>我所主要职能为：收集整理国际经济贸易信息、开展对外经济贸易调查研究、为领导决策提供依据、举办研讨活动、编印内部刊物及资料、面向社会开展信息咨询服务。</w:t>
      </w:r>
      <w:bookmarkEnd w:id="22"/>
    </w:p>
    <w:p>
      <w:pPr>
        <w:pStyle w:val="4"/>
        <w:spacing w:before="0" w:after="0" w:line="600" w:lineRule="exact"/>
        <w:ind w:firstLine="640" w:firstLineChars="200"/>
        <w:rPr>
          <w:rFonts w:ascii="黑体" w:hAnsi="黑体" w:eastAsia="黑体"/>
          <w:b w:val="0"/>
        </w:rPr>
      </w:pPr>
      <w:bookmarkStart w:id="23" w:name="_Toc18967"/>
      <w:r>
        <w:rPr>
          <w:rFonts w:hint="eastAsia" w:ascii="黑体" w:hAnsi="黑体" w:eastAsia="黑体"/>
          <w:b w:val="0"/>
        </w:rPr>
        <w:t>二、2021年重点工作</w:t>
      </w:r>
      <w:bookmarkEnd w:id="19"/>
      <w:bookmarkEnd w:id="20"/>
      <w:r>
        <w:rPr>
          <w:rFonts w:hint="eastAsia" w:ascii="黑体" w:hAnsi="黑体" w:eastAsia="黑体"/>
          <w:b w:val="0"/>
        </w:rPr>
        <w:t>完成情况</w:t>
      </w:r>
      <w:bookmarkEnd w:id="23"/>
    </w:p>
    <w:p>
      <w:pPr>
        <w:snapToGrid w:val="0"/>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（一）课题调研紧扣中心，核心业务提质增效</w:t>
      </w:r>
    </w:p>
    <w:p>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今年以来，研究所既以小组为单位开展组内常规性调研，又以课题为核心  组织高效精干的课题小组进行专题性研究；既扎实把握对外贸易、服务业、消费流通等研究方向，又紧紧跟进RCEP、绿色外贸、成渝双城经济圈等研究新趋势，形成了纵向深入、横向拓展、双向联动的调研新模式，充分发挥研究所决策参谋作用。今年完成各类课题十余项，其中：省决咨委课题2项，《碳关税资料汇编》1本，《商务调研》14期。     </w:t>
      </w:r>
    </w:p>
    <w:p>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1.聚焦决策部署，开展前瞻调研</w:t>
      </w:r>
    </w:p>
    <w:p>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认真贯彻落实省委省政府决策部署，把握重点、攻克难点，扎实开展调研工作，完成《四川抢抓RCEP机遇的建议》和《“双循环”新发展格局下的四川服务业发展研究》等省决咨委课题，其中《四川抢抓RCEP机遇的建议》在《决策咨询专报》刊登并获得李云泽副省长肯定性批示。</w:t>
      </w:r>
    </w:p>
    <w:p>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2.聚焦商务热点，打造课题精品</w:t>
      </w:r>
    </w:p>
    <w:p>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是聚焦绿色贸易，编写《碳关税资料汇编》，开展《“双碳”战略对产业的影响及应对之举》《欧盟碳边境调节机制对外贸出口的影响分析》等课题研究；二是聚焦“双循环”新发展格局，开展《成渝地区双城经济圈国际化消费潜力无限》等课题研究；三是聚焦重点领域，开展《当前我国外贸面临的挑战及应对之策》《浅析步行街对县域经济的影响——眉山市东坡岛商业水街调研报告》《着力发展科技信息服务业，提升四川创新能力》、《新发展格局下四川休闲农业和乡村旅游可持续发展研究》等专题研究。其中《后疫情背景下着力培育服务业发展新动能》被省委政研室刊载在《调查与决策》杂志上。</w:t>
      </w:r>
    </w:p>
    <w:p>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3.聚焦中心工作，服务商务大局</w:t>
      </w:r>
    </w:p>
    <w:p>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立足商务中心，不断激活调研内生动力，积极配合厅业务处室，完成商务重点工作。一是积极派员参加全省农村商业工作建设专班、商务厅对标上海研究专班、四川省商务系统综合帮扶凉山专班等，让党员干部在商务重点工作中充分发挥先锋模范作用，在实践中提升干事创业的真本领。二是强化与厅机关各处室的紧密协作，配合开展《依托四川清洁能源优势 大力发展绿色外贸》课题研究、撰写《四川省“十四五”商务发展规划》，配合完成《对标开放最前沿 西部当作东部干——学习上海自贸试验区经验调研报告》《打造富有巴蜀特色的国际消费目的地课题研究》等研究报告。</w:t>
      </w:r>
    </w:p>
    <w:p>
      <w:pPr>
        <w:snapToGrid w:val="0"/>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（二）刊物编印有序推进，重点工作落实见效</w:t>
      </w:r>
    </w:p>
    <w:p>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是扎实做好杂志刊物编印工作。编印《四川商务》内刊10期，客观宣传商务系统工作和思路印发全省商务系统。完成2021年《四川商务年鉴》、《四川国际商务指南》、商务厅大事记的编写工作以及商务部《中国商务年鉴》四川部分和省政府《四川年鉴》商务部分供稿工作。</w:t>
      </w:r>
    </w:p>
    <w:p>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二是协助做好四川自贸试验区工作。协助完成四川自贸试验区第二批协同改革先行区省政府会议筹备工作，收集、整理、汇编、校对相关材料，完成材料准备。</w:t>
      </w:r>
    </w:p>
    <w:p>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是切实做好步行街研究中心工作。举办四川步行街生态合作论坛，邀请步行街重点服务商、智慧场景运营商和重点品牌商家分享建设运营经验；建立全省步行街发展联席会议机制，整合改造提升和招商运营上下游资源。</w:t>
      </w:r>
    </w:p>
    <w:p>
      <w:pPr>
        <w:pStyle w:val="4"/>
        <w:spacing w:before="0" w:after="0" w:line="600" w:lineRule="exact"/>
        <w:ind w:firstLine="640" w:firstLineChars="200"/>
        <w:rPr>
          <w:rFonts w:hint="eastAsia" w:ascii="黑体" w:hAnsi="黑体" w:eastAsia="黑体"/>
          <w:b w:val="0"/>
          <w:lang w:eastAsia="zh-CN"/>
        </w:rPr>
      </w:pPr>
      <w:bookmarkStart w:id="118" w:name="_GoBack"/>
      <w:bookmarkStart w:id="24" w:name="_Toc19703"/>
      <w:bookmarkStart w:id="25" w:name="_Toc12288"/>
      <w:r>
        <w:rPr>
          <w:rFonts w:hint="eastAsia" w:ascii="黑体" w:hAnsi="黑体" w:eastAsia="黑体"/>
          <w:b w:val="0"/>
          <w:lang w:eastAsia="zh-CN"/>
        </w:rPr>
        <w:t>三</w:t>
      </w:r>
      <w:r>
        <w:rPr>
          <w:rFonts w:hint="eastAsia" w:ascii="黑体" w:hAnsi="黑体" w:eastAsia="黑体"/>
          <w:b w:val="0"/>
        </w:rPr>
        <w:t>、</w:t>
      </w:r>
      <w:r>
        <w:rPr>
          <w:rFonts w:hint="eastAsia" w:ascii="黑体" w:hAnsi="黑体" w:eastAsia="黑体"/>
          <w:b w:val="0"/>
          <w:lang w:eastAsia="zh-CN"/>
        </w:rPr>
        <w:t>机构设置情况</w:t>
      </w:r>
      <w:bookmarkEnd w:id="24"/>
      <w:bookmarkEnd w:id="25"/>
    </w:p>
    <w:bookmarkEnd w:id="118"/>
    <w:p>
      <w:pPr>
        <w:widowControl/>
        <w:spacing w:line="600" w:lineRule="exact"/>
        <w:ind w:firstLine="640" w:firstLineChars="200"/>
        <w:jc w:val="left"/>
        <w:rPr>
          <w:rFonts w:ascii="仿宋" w:hAnsi="仿宋" w:eastAsia="仿宋" w:cs="仿宋"/>
          <w:kern w:val="0"/>
          <w:sz w:val="32"/>
          <w:szCs w:val="32"/>
        </w:rPr>
      </w:pPr>
      <w:r>
        <w:rPr>
          <w:rFonts w:hint="eastAsia" w:ascii="仿宋" w:hAnsi="仿宋" w:eastAsia="仿宋" w:cs="仿宋"/>
          <w:sz w:val="32"/>
          <w:szCs w:val="32"/>
          <w:lang w:eastAsia="zh-CN"/>
        </w:rPr>
        <w:t>研究所暂未设置内设机构，根据各职能分工，单位共由</w:t>
      </w:r>
      <w:r>
        <w:rPr>
          <w:rFonts w:hint="eastAsia" w:ascii="仿宋" w:hAnsi="仿宋" w:eastAsia="仿宋" w:cs="仿宋"/>
          <w:sz w:val="32"/>
          <w:szCs w:val="32"/>
          <w:lang w:val="en-US" w:eastAsia="zh-CN"/>
        </w:rPr>
        <w:t>5个组（室）组成，分别是：</w:t>
      </w:r>
      <w:r>
        <w:rPr>
          <w:rFonts w:hint="eastAsia" w:ascii="仿宋" w:hAnsi="仿宋" w:eastAsia="仿宋" w:cs="仿宋"/>
          <w:sz w:val="32"/>
          <w:szCs w:val="32"/>
          <w:lang w:eastAsia="zh-CN"/>
        </w:rPr>
        <w:t>办公室、财务室、服务业发展研究小组、开放型经济研究小组及商贸流通研究小组。</w:t>
      </w:r>
      <w:r>
        <w:rPr>
          <w:rFonts w:hint="eastAsia" w:ascii="仿宋" w:hAnsi="仿宋" w:eastAsia="仿宋" w:cs="仿宋"/>
          <w:sz w:val="32"/>
          <w:szCs w:val="32"/>
        </w:rPr>
        <w:br w:type="page"/>
      </w:r>
    </w:p>
    <w:p>
      <w:pPr>
        <w:pStyle w:val="3"/>
        <w:ind w:right="440"/>
        <w:jc w:val="center"/>
        <w:rPr>
          <w:rStyle w:val="24"/>
          <w:rFonts w:ascii="黑体" w:hAnsi="黑体" w:eastAsia="黑体"/>
          <w:b w:val="0"/>
          <w:bCs/>
        </w:rPr>
      </w:pPr>
      <w:bookmarkStart w:id="26" w:name="_Toc23790"/>
      <w:bookmarkStart w:id="27" w:name="_Toc15377204"/>
      <w:bookmarkStart w:id="28" w:name="_Toc15396602"/>
      <w:r>
        <w:rPr>
          <w:rFonts w:hint="eastAsia" w:ascii="黑体" w:hAnsi="黑体" w:eastAsia="黑体"/>
          <w:b w:val="0"/>
        </w:rPr>
        <w:t>第二部分 2021年度</w:t>
      </w:r>
      <w:r>
        <w:rPr>
          <w:rStyle w:val="24"/>
          <w:rFonts w:hint="eastAsia" w:ascii="黑体" w:hAnsi="黑体" w:eastAsia="黑体"/>
          <w:b w:val="0"/>
          <w:bCs/>
        </w:rPr>
        <w:t>单位决算情况说明</w:t>
      </w:r>
      <w:bookmarkEnd w:id="26"/>
      <w:bookmarkEnd w:id="27"/>
      <w:bookmarkEnd w:id="28"/>
    </w:p>
    <w:p/>
    <w:p>
      <w:pPr>
        <w:pStyle w:val="23"/>
        <w:numPr>
          <w:ilvl w:val="0"/>
          <w:numId w:val="1"/>
        </w:numPr>
        <w:spacing w:line="600" w:lineRule="exact"/>
        <w:ind w:firstLineChars="0"/>
        <w:outlineLvl w:val="1"/>
        <w:rPr>
          <w:rStyle w:val="25"/>
          <w:rFonts w:ascii="黑体" w:hAnsi="黑体" w:eastAsia="黑体"/>
          <w:b w:val="0"/>
        </w:rPr>
      </w:pPr>
      <w:bookmarkStart w:id="29" w:name="_Toc15396603"/>
      <w:bookmarkStart w:id="30" w:name="_Toc15377205"/>
      <w:bookmarkStart w:id="31" w:name="_Toc13174"/>
      <w:r>
        <w:rPr>
          <w:rFonts w:hint="eastAsia" w:ascii="黑体" w:hAnsi="黑体" w:eastAsia="黑体"/>
          <w:sz w:val="32"/>
          <w:szCs w:val="32"/>
        </w:rPr>
        <w:t>收</w:t>
      </w:r>
      <w:r>
        <w:rPr>
          <w:rStyle w:val="25"/>
          <w:rFonts w:hint="eastAsia" w:ascii="黑体" w:hAnsi="黑体" w:eastAsia="黑体"/>
          <w:b w:val="0"/>
        </w:rPr>
        <w:t>入支出决算总体情况说明</w:t>
      </w:r>
      <w:bookmarkEnd w:id="29"/>
      <w:bookmarkEnd w:id="30"/>
      <w:bookmarkEnd w:id="31"/>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w:t>
      </w:r>
      <w:r>
        <w:rPr>
          <w:rFonts w:ascii="仿宋" w:hAnsi="仿宋" w:eastAsia="仿宋"/>
          <w:sz w:val="32"/>
          <w:szCs w:val="32"/>
        </w:rPr>
        <w:t>246.89</w:t>
      </w:r>
      <w:r>
        <w:rPr>
          <w:rFonts w:hint="eastAsia" w:ascii="仿宋" w:hAnsi="仿宋" w:eastAsia="仿宋"/>
          <w:sz w:val="32"/>
          <w:szCs w:val="32"/>
        </w:rPr>
        <w:t>万元。与2020年相比，收、支总计各增加</w:t>
      </w:r>
      <w:r>
        <w:rPr>
          <w:rFonts w:ascii="仿宋" w:hAnsi="仿宋" w:eastAsia="仿宋"/>
          <w:sz w:val="32"/>
          <w:szCs w:val="32"/>
        </w:rPr>
        <w:t>16.62</w:t>
      </w:r>
      <w:r>
        <w:rPr>
          <w:rFonts w:hint="eastAsia" w:ascii="仿宋" w:hAnsi="仿宋" w:eastAsia="仿宋"/>
          <w:sz w:val="32"/>
          <w:szCs w:val="32"/>
        </w:rPr>
        <w:t>万元，增长</w:t>
      </w:r>
      <w:r>
        <w:rPr>
          <w:rFonts w:ascii="仿宋" w:hAnsi="仿宋" w:eastAsia="仿宋"/>
          <w:sz w:val="32"/>
          <w:szCs w:val="32"/>
        </w:rPr>
        <w:t>7.22%</w:t>
      </w:r>
      <w:r>
        <w:rPr>
          <w:rFonts w:hint="eastAsia" w:ascii="仿宋" w:hAnsi="仿宋" w:eastAsia="仿宋"/>
          <w:sz w:val="32"/>
          <w:szCs w:val="32"/>
        </w:rPr>
        <w:t>。主要变动原因是根据相关政策，2020年应发放的专项绩效奖励和退休人员一次性生活补助标准提高，2021年实际发放时，相应支出增加。</w:t>
      </w:r>
    </w:p>
    <w:p>
      <w:pPr>
        <w:spacing w:line="600" w:lineRule="exact"/>
        <w:ind w:firstLine="640" w:firstLineChars="200"/>
        <w:rPr>
          <w:rFonts w:eastAsia="仿宋" w:asciiTheme="minorEastAsia" w:hAnsiTheme="minorEastAsia"/>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spacing w:before="93"/>
      </w:pPr>
      <w:r>
        <w:rPr>
          <w:rFonts w:asciiTheme="minorEastAsia" w:hAnsiTheme="minorEastAsia" w:eastAsiaTheme="minorEastAsia"/>
          <w:sz w:val="32"/>
          <w:szCs w:val="32"/>
        </w:rPr>
        <w:drawing>
          <wp:inline distT="0" distB="0" distL="0" distR="0">
            <wp:extent cx="5274310" cy="3076575"/>
            <wp:effectExtent l="5080" t="4445" r="16510"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3"/>
        <w:numPr>
          <w:ilvl w:val="0"/>
          <w:numId w:val="1"/>
        </w:numPr>
        <w:spacing w:line="600" w:lineRule="exact"/>
        <w:ind w:firstLineChars="0"/>
        <w:outlineLvl w:val="1"/>
        <w:rPr>
          <w:rStyle w:val="25"/>
          <w:rFonts w:ascii="黑体" w:hAnsi="黑体" w:eastAsia="黑体"/>
          <w:b w:val="0"/>
        </w:rPr>
      </w:pPr>
      <w:bookmarkStart w:id="32" w:name="_Toc15377206"/>
      <w:bookmarkStart w:id="33" w:name="_Toc27655"/>
      <w:bookmarkStart w:id="34" w:name="_Toc15396604"/>
      <w:r>
        <w:rPr>
          <w:rFonts w:hint="eastAsia" w:ascii="黑体" w:hAnsi="黑体" w:eastAsia="黑体"/>
          <w:sz w:val="32"/>
          <w:szCs w:val="32"/>
        </w:rPr>
        <w:t>收</w:t>
      </w:r>
      <w:r>
        <w:rPr>
          <w:rStyle w:val="25"/>
          <w:rFonts w:hint="eastAsia" w:ascii="黑体" w:hAnsi="黑体" w:eastAsia="黑体"/>
          <w:b w:val="0"/>
        </w:rPr>
        <w:t>入决算情况说明</w:t>
      </w:r>
      <w:bookmarkEnd w:id="32"/>
      <w:bookmarkEnd w:id="33"/>
      <w:bookmarkEnd w:id="34"/>
    </w:p>
    <w:p>
      <w:pPr>
        <w:spacing w:line="600" w:lineRule="exact"/>
        <w:ind w:firstLine="640" w:firstLineChars="200"/>
        <w:outlineLvl w:val="1"/>
        <w:rPr>
          <w:rFonts w:ascii="仿宋" w:hAnsi="仿宋" w:eastAsia="仿宋"/>
          <w:sz w:val="32"/>
          <w:szCs w:val="32"/>
        </w:rPr>
      </w:pPr>
      <w:bookmarkStart w:id="35" w:name="_Toc24457"/>
      <w:r>
        <w:rPr>
          <w:rFonts w:ascii="仿宋" w:hAnsi="仿宋" w:eastAsia="仿宋"/>
          <w:sz w:val="32"/>
          <w:szCs w:val="32"/>
        </w:rPr>
        <w:t>20</w:t>
      </w:r>
      <w:r>
        <w:rPr>
          <w:rFonts w:hint="eastAsia" w:ascii="仿宋" w:hAnsi="仿宋" w:eastAsia="仿宋"/>
          <w:sz w:val="32"/>
          <w:szCs w:val="32"/>
        </w:rPr>
        <w:t>21年本年收入合计246.89万元，其中：一般公共预算财政拨款收入246.89万元，占100</w:t>
      </w:r>
      <w:r>
        <w:rPr>
          <w:rFonts w:ascii="仿宋" w:hAnsi="仿宋" w:eastAsia="仿宋"/>
          <w:sz w:val="32"/>
          <w:szCs w:val="32"/>
        </w:rPr>
        <w:t>%</w:t>
      </w:r>
      <w:r>
        <w:rPr>
          <w:rFonts w:hint="eastAsia" w:ascii="仿宋" w:hAnsi="仿宋" w:eastAsia="仿宋"/>
          <w:sz w:val="32"/>
          <w:szCs w:val="32"/>
        </w:rPr>
        <w:t>。</w:t>
      </w:r>
      <w:bookmarkEnd w:id="35"/>
    </w:p>
    <w:p>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（图2：收入决算结构图）（饼状图）</w:t>
      </w:r>
    </w:p>
    <w:p>
      <w:pPr>
        <w:pStyle w:val="2"/>
        <w:spacing w:before="93"/>
      </w:pPr>
      <w:r>
        <w:rPr>
          <w:rFonts w:asciiTheme="minorEastAsia" w:hAnsiTheme="minorEastAsia" w:eastAsiaTheme="minorEastAsia"/>
          <w:sz w:val="32"/>
          <w:szCs w:val="32"/>
        </w:rPr>
        <w:drawing>
          <wp:inline distT="0" distB="0" distL="0" distR="0">
            <wp:extent cx="5274310" cy="3076575"/>
            <wp:effectExtent l="5080" t="4445" r="16510" b="50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3"/>
        <w:numPr>
          <w:ilvl w:val="0"/>
          <w:numId w:val="1"/>
        </w:numPr>
        <w:spacing w:line="600" w:lineRule="exact"/>
        <w:ind w:firstLineChars="0"/>
        <w:outlineLvl w:val="1"/>
        <w:rPr>
          <w:rStyle w:val="25"/>
          <w:rFonts w:ascii="黑体" w:hAnsi="黑体" w:eastAsia="黑体"/>
          <w:b w:val="0"/>
        </w:rPr>
      </w:pPr>
      <w:bookmarkStart w:id="36" w:name="_Toc15396605"/>
      <w:bookmarkStart w:id="37" w:name="_Toc30802"/>
      <w:bookmarkStart w:id="38" w:name="_Toc15377207"/>
      <w:r>
        <w:rPr>
          <w:rFonts w:hint="eastAsia" w:ascii="黑体" w:hAnsi="黑体" w:eastAsia="黑体"/>
          <w:sz w:val="32"/>
          <w:szCs w:val="32"/>
        </w:rPr>
        <w:t>支</w:t>
      </w:r>
      <w:r>
        <w:rPr>
          <w:rStyle w:val="25"/>
          <w:rFonts w:hint="eastAsia" w:ascii="黑体" w:hAnsi="黑体" w:eastAsia="黑体"/>
          <w:b w:val="0"/>
        </w:rPr>
        <w:t>出决算情况说明</w:t>
      </w:r>
      <w:bookmarkEnd w:id="36"/>
      <w:bookmarkEnd w:id="37"/>
      <w:bookmarkEnd w:id="38"/>
    </w:p>
    <w:p>
      <w:pPr>
        <w:spacing w:line="600" w:lineRule="exact"/>
        <w:ind w:firstLine="640" w:firstLineChars="200"/>
        <w:outlineLvl w:val="1"/>
        <w:rPr>
          <w:rFonts w:ascii="仿宋" w:hAnsi="仿宋" w:eastAsia="仿宋"/>
          <w:sz w:val="32"/>
          <w:szCs w:val="32"/>
          <w:shd w:val="pct10" w:color="auto" w:fill="FFFFFF"/>
        </w:rPr>
      </w:pPr>
      <w:bookmarkStart w:id="39" w:name="_Toc13116"/>
      <w:r>
        <w:rPr>
          <w:rFonts w:ascii="仿宋" w:hAnsi="仿宋" w:eastAsia="仿宋"/>
          <w:sz w:val="32"/>
          <w:szCs w:val="32"/>
        </w:rPr>
        <w:t>20</w:t>
      </w:r>
      <w:r>
        <w:rPr>
          <w:rFonts w:hint="eastAsia" w:ascii="仿宋" w:hAnsi="仿宋" w:eastAsia="仿宋"/>
          <w:sz w:val="32"/>
          <w:szCs w:val="32"/>
        </w:rPr>
        <w:t>21年本年支出合计246.89万元，其中：基本支出220.48万元，占89.30</w:t>
      </w:r>
      <w:r>
        <w:rPr>
          <w:rFonts w:ascii="仿宋" w:hAnsi="仿宋" w:eastAsia="仿宋"/>
          <w:sz w:val="32"/>
          <w:szCs w:val="32"/>
        </w:rPr>
        <w:t>%</w:t>
      </w:r>
      <w:r>
        <w:rPr>
          <w:rFonts w:hint="eastAsia" w:ascii="仿宋" w:hAnsi="仿宋" w:eastAsia="仿宋"/>
          <w:sz w:val="32"/>
          <w:szCs w:val="32"/>
        </w:rPr>
        <w:t>；项目支出26.41万元，占10.70</w:t>
      </w:r>
      <w:r>
        <w:rPr>
          <w:rFonts w:ascii="仿宋" w:hAnsi="仿宋" w:eastAsia="仿宋"/>
          <w:sz w:val="32"/>
          <w:szCs w:val="32"/>
        </w:rPr>
        <w:t>%</w:t>
      </w:r>
      <w:r>
        <w:rPr>
          <w:rFonts w:hint="eastAsia" w:ascii="仿宋" w:hAnsi="仿宋" w:eastAsia="仿宋"/>
          <w:sz w:val="32"/>
          <w:szCs w:val="32"/>
        </w:rPr>
        <w:t>。</w:t>
      </w:r>
      <w:bookmarkEnd w:id="39"/>
    </w:p>
    <w:p>
      <w:pPr>
        <w:spacing w:line="600" w:lineRule="exact"/>
        <w:ind w:firstLine="640" w:firstLineChars="200"/>
        <w:rPr>
          <w:rFonts w:ascii="黑体" w:hAnsi="黑体" w:eastAsia="黑体"/>
          <w:sz w:val="32"/>
          <w:szCs w:val="32"/>
        </w:rPr>
      </w:pPr>
      <w:r>
        <w:rPr>
          <w:rFonts w:hint="eastAsia" w:ascii="仿宋" w:hAnsi="仿宋" w:eastAsia="仿宋"/>
          <w:sz w:val="32"/>
          <w:szCs w:val="32"/>
        </w:rPr>
        <w:t>（图3：支出决算结构图）（饼状图）</w:t>
      </w:r>
      <w:bookmarkStart w:id="40" w:name="_Toc15377208"/>
      <w:bookmarkStart w:id="41" w:name="_Toc15396606"/>
    </w:p>
    <w:p>
      <w:pPr>
        <w:pStyle w:val="2"/>
        <w:spacing w:before="93"/>
        <w:rPr>
          <w:rFonts w:ascii="黑体" w:hAnsi="黑体" w:eastAsia="黑体"/>
          <w:sz w:val="32"/>
          <w:szCs w:val="32"/>
        </w:rPr>
      </w:pPr>
      <w:r>
        <w:rPr>
          <w:rFonts w:asciiTheme="minorEastAsia" w:hAnsiTheme="minorEastAsia" w:eastAsiaTheme="minorEastAsia"/>
          <w:sz w:val="32"/>
          <w:szCs w:val="32"/>
        </w:rPr>
        <w:drawing>
          <wp:inline distT="0" distB="0" distL="0" distR="0">
            <wp:extent cx="5274310" cy="3076575"/>
            <wp:effectExtent l="5080" t="4445" r="16510" b="50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1"/>
        <w:rPr>
          <w:rStyle w:val="25"/>
          <w:rFonts w:ascii="黑体" w:hAnsi="黑体" w:eastAsia="黑体"/>
          <w:b w:val="0"/>
        </w:rPr>
      </w:pPr>
      <w:bookmarkStart w:id="42" w:name="_Toc5406"/>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40"/>
      <w:bookmarkEnd w:id="41"/>
      <w:bookmarkEnd w:id="42"/>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21年财政拨款收、支总计246.89万元。与</w:t>
      </w:r>
      <w:r>
        <w:rPr>
          <w:rFonts w:ascii="仿宋" w:hAnsi="仿宋" w:eastAsia="仿宋"/>
          <w:sz w:val="32"/>
          <w:szCs w:val="32"/>
        </w:rPr>
        <w:t>20</w:t>
      </w:r>
      <w:r>
        <w:rPr>
          <w:rFonts w:hint="eastAsia" w:ascii="仿宋" w:hAnsi="仿宋" w:eastAsia="仿宋"/>
          <w:sz w:val="32"/>
          <w:szCs w:val="32"/>
        </w:rPr>
        <w:t>20年相比，财政拨款收、支总计各增加16.62万元，增长7.22</w:t>
      </w:r>
      <w:r>
        <w:rPr>
          <w:rFonts w:ascii="仿宋" w:hAnsi="仿宋" w:eastAsia="仿宋"/>
          <w:sz w:val="32"/>
          <w:szCs w:val="32"/>
        </w:rPr>
        <w:t>%</w:t>
      </w:r>
      <w:r>
        <w:rPr>
          <w:rFonts w:hint="eastAsia" w:ascii="仿宋" w:hAnsi="仿宋" w:eastAsia="仿宋"/>
          <w:sz w:val="32"/>
          <w:szCs w:val="32"/>
        </w:rPr>
        <w:t>。主要变动原因是根据相关政策，2020年应发放的专项绩效奖励和退休人员一次性生活补助标准提高，2021年实际发放时，相应支出增加。</w:t>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（图4：财政拨款收、支决算总计变动情况）（柱状图）</w:t>
      </w:r>
    </w:p>
    <w:p>
      <w:pPr>
        <w:pStyle w:val="2"/>
        <w:spacing w:before="93"/>
        <w:rPr>
          <w:rFonts w:ascii="仿宋" w:hAnsi="仿宋" w:eastAsia="仿宋"/>
          <w:b/>
          <w:sz w:val="32"/>
          <w:szCs w:val="32"/>
        </w:rPr>
      </w:pPr>
      <w:r>
        <w:rPr>
          <w:rFonts w:asciiTheme="minorEastAsia" w:hAnsiTheme="minorEastAsia" w:eastAsiaTheme="minorEastAsia"/>
          <w:sz w:val="32"/>
          <w:szCs w:val="32"/>
        </w:rPr>
        <w:drawing>
          <wp:inline distT="0" distB="0" distL="0" distR="0">
            <wp:extent cx="5274310" cy="3076575"/>
            <wp:effectExtent l="5080" t="4445" r="16510" b="508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outlineLvl w:val="1"/>
        <w:rPr>
          <w:rStyle w:val="25"/>
          <w:rFonts w:ascii="黑体" w:hAnsi="黑体" w:eastAsia="黑体"/>
          <w:b w:val="0"/>
        </w:rPr>
      </w:pPr>
      <w:bookmarkStart w:id="43" w:name="_Toc15396607"/>
      <w:bookmarkStart w:id="44" w:name="_Toc15377209"/>
      <w:bookmarkStart w:id="45" w:name="_Toc4172"/>
      <w:r>
        <w:rPr>
          <w:rFonts w:hint="eastAsia" w:ascii="黑体" w:hAnsi="黑体" w:eastAsia="黑体"/>
          <w:sz w:val="32"/>
          <w:szCs w:val="32"/>
        </w:rPr>
        <w:t>五、一</w:t>
      </w:r>
      <w:r>
        <w:rPr>
          <w:rStyle w:val="25"/>
          <w:rFonts w:hint="eastAsia" w:ascii="黑体" w:hAnsi="黑体" w:eastAsia="黑体"/>
          <w:b w:val="0"/>
          <w:bCs w:val="0"/>
        </w:rPr>
        <w:t>般</w:t>
      </w:r>
      <w:r>
        <w:rPr>
          <w:rStyle w:val="25"/>
          <w:rFonts w:hint="eastAsia" w:ascii="黑体" w:hAnsi="黑体" w:eastAsia="黑体"/>
          <w:b w:val="0"/>
        </w:rPr>
        <w:t>公共预算财政拨款支出决算情况说明</w:t>
      </w:r>
      <w:bookmarkEnd w:id="43"/>
      <w:bookmarkEnd w:id="44"/>
      <w:bookmarkEnd w:id="45"/>
    </w:p>
    <w:p>
      <w:pPr>
        <w:spacing w:line="600" w:lineRule="exact"/>
        <w:ind w:firstLine="642" w:firstLineChars="200"/>
        <w:outlineLvl w:val="2"/>
        <w:rPr>
          <w:rFonts w:ascii="仿宋" w:hAnsi="仿宋" w:eastAsia="仿宋"/>
          <w:b/>
          <w:sz w:val="32"/>
          <w:szCs w:val="32"/>
        </w:rPr>
      </w:pPr>
      <w:bookmarkStart w:id="46" w:name="_Toc29236"/>
      <w:bookmarkStart w:id="47" w:name="_Toc15377210"/>
      <w:r>
        <w:rPr>
          <w:rFonts w:hint="eastAsia" w:ascii="仿宋" w:hAnsi="仿宋" w:eastAsia="仿宋"/>
          <w:b/>
          <w:sz w:val="32"/>
          <w:szCs w:val="32"/>
        </w:rPr>
        <w:t>（一）一般公共预算财政拨款支出决算总体情况</w:t>
      </w:r>
      <w:bookmarkEnd w:id="46"/>
      <w:bookmarkEnd w:id="47"/>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21年一般公共预算财政拨款支出246.89万元，占本年支出合计的100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20年相比，一般公共预算财政拨款支出增加16.62万元，增长7.22</w:t>
      </w:r>
      <w:r>
        <w:rPr>
          <w:rFonts w:ascii="仿宋" w:hAnsi="仿宋" w:eastAsia="仿宋"/>
          <w:sz w:val="32"/>
          <w:szCs w:val="32"/>
        </w:rPr>
        <w:t>%</w:t>
      </w:r>
      <w:r>
        <w:rPr>
          <w:rFonts w:hint="eastAsia" w:ascii="仿宋" w:hAnsi="仿宋" w:eastAsia="仿宋"/>
          <w:sz w:val="32"/>
          <w:szCs w:val="32"/>
        </w:rPr>
        <w:t>。主要变动原因是根据相关政策，2020年应发放的专项绩效奖励和退休人员一次性生活补助标准提高，2021年实际发放时，相应支出增加。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pStyle w:val="2"/>
        <w:spacing w:before="93"/>
        <w:rPr>
          <w:rFonts w:ascii="仿宋" w:hAnsi="仿宋" w:eastAsia="仿宋"/>
          <w:sz w:val="32"/>
          <w:szCs w:val="32"/>
        </w:rPr>
      </w:pPr>
      <w:r>
        <w:rPr>
          <w:rFonts w:asciiTheme="minorEastAsia" w:hAnsiTheme="minorEastAsia" w:eastAsiaTheme="minorEastAsia"/>
          <w:sz w:val="32"/>
          <w:szCs w:val="32"/>
        </w:rPr>
        <w:drawing>
          <wp:inline distT="0" distB="0" distL="0" distR="0">
            <wp:extent cx="5274310" cy="3076575"/>
            <wp:effectExtent l="5080" t="4445" r="16510" b="50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2" w:firstLineChars="200"/>
        <w:outlineLvl w:val="2"/>
        <w:rPr>
          <w:rFonts w:ascii="仿宋" w:hAnsi="仿宋" w:eastAsia="仿宋"/>
          <w:b/>
          <w:sz w:val="32"/>
          <w:szCs w:val="32"/>
        </w:rPr>
      </w:pPr>
      <w:bookmarkStart w:id="48" w:name="_Toc15377211"/>
      <w:bookmarkStart w:id="49" w:name="_Toc28757"/>
      <w:r>
        <w:rPr>
          <w:rFonts w:hint="eastAsia" w:ascii="仿宋" w:hAnsi="仿宋" w:eastAsia="仿宋"/>
          <w:b/>
          <w:sz w:val="32"/>
          <w:szCs w:val="32"/>
        </w:rPr>
        <w:t>（二）一般公共预算财政拨款支出决算结构情况</w:t>
      </w:r>
      <w:bookmarkEnd w:id="48"/>
      <w:bookmarkEnd w:id="49"/>
    </w:p>
    <w:p>
      <w:pPr>
        <w:pStyle w:val="2"/>
        <w:spacing w:beforeLines="0"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21年一般公共预算财政拨款支出246.89万元，主要用于以下方面</w:t>
      </w:r>
      <w:r>
        <w:rPr>
          <w:rFonts w:ascii="仿宋" w:hAnsi="仿宋" w:eastAsia="仿宋"/>
          <w:sz w:val="32"/>
          <w:szCs w:val="32"/>
        </w:rPr>
        <w:t>:</w:t>
      </w:r>
      <w:r>
        <w:rPr>
          <w:rFonts w:hint="eastAsia" w:ascii="仿宋" w:hAnsi="仿宋" w:eastAsia="仿宋"/>
          <w:b/>
          <w:sz w:val="32"/>
          <w:szCs w:val="32"/>
        </w:rPr>
        <w:t>科学技术（类）</w:t>
      </w:r>
      <w:r>
        <w:rPr>
          <w:rFonts w:hint="eastAsia" w:ascii="仿宋" w:hAnsi="仿宋" w:eastAsia="仿宋"/>
          <w:bCs/>
          <w:sz w:val="32"/>
          <w:szCs w:val="32"/>
        </w:rPr>
        <w:t>支出</w:t>
      </w:r>
      <w:r>
        <w:rPr>
          <w:rFonts w:hint="eastAsia" w:ascii="仿宋" w:hAnsi="仿宋" w:eastAsia="仿宋"/>
          <w:sz w:val="32"/>
          <w:szCs w:val="32"/>
        </w:rPr>
        <w:t>190.34万元，占77.10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bCs/>
          <w:sz w:val="32"/>
          <w:szCs w:val="32"/>
        </w:rPr>
        <w:t>支出</w:t>
      </w:r>
      <w:r>
        <w:rPr>
          <w:rFonts w:hint="eastAsia" w:ascii="仿宋" w:hAnsi="仿宋" w:eastAsia="仿宋"/>
          <w:sz w:val="32"/>
          <w:szCs w:val="32"/>
        </w:rPr>
        <w:t>25.89万元，占10.48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卫生健康（类）</w:t>
      </w:r>
      <w:r>
        <w:rPr>
          <w:rFonts w:hint="eastAsia" w:ascii="仿宋" w:hAnsi="仿宋" w:eastAsia="仿宋"/>
          <w:sz w:val="32"/>
          <w:szCs w:val="32"/>
        </w:rPr>
        <w:t>支出14.76万元，占5.98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住房保障（类）</w:t>
      </w:r>
      <w:r>
        <w:rPr>
          <w:rFonts w:hint="eastAsia" w:ascii="仿宋" w:hAnsi="仿宋" w:eastAsia="仿宋"/>
          <w:bCs/>
          <w:sz w:val="32"/>
          <w:szCs w:val="32"/>
        </w:rPr>
        <w:t>支出</w:t>
      </w:r>
      <w:r>
        <w:rPr>
          <w:rFonts w:hint="eastAsia" w:ascii="仿宋" w:hAnsi="仿宋" w:eastAsia="仿宋"/>
          <w:sz w:val="32"/>
          <w:szCs w:val="32"/>
        </w:rPr>
        <w:t>15.90万元，占6.44</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（图6：一般公共预算财政拨款支出决算结构）（饼状图）</w:t>
      </w:r>
      <w:bookmarkStart w:id="50" w:name="_Toc15377212"/>
    </w:p>
    <w:p>
      <w:pPr>
        <w:pStyle w:val="2"/>
        <w:spacing w:before="93"/>
        <w:rPr>
          <w:rFonts w:ascii="仿宋" w:hAnsi="仿宋" w:eastAsia="仿宋"/>
          <w:b/>
          <w:sz w:val="32"/>
          <w:szCs w:val="32"/>
        </w:rPr>
      </w:pPr>
      <w:r>
        <w:rPr>
          <w:rFonts w:asciiTheme="minorEastAsia" w:hAnsiTheme="minorEastAsia" w:eastAsiaTheme="minorEastAsia"/>
          <w:sz w:val="32"/>
          <w:szCs w:val="32"/>
        </w:rPr>
        <w:drawing>
          <wp:inline distT="0" distB="0" distL="0" distR="0">
            <wp:extent cx="5274310" cy="3076575"/>
            <wp:effectExtent l="5080" t="4445" r="16510" b="508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2" w:firstLineChars="200"/>
        <w:outlineLvl w:val="2"/>
        <w:rPr>
          <w:rFonts w:ascii="仿宋" w:hAnsi="仿宋" w:eastAsia="仿宋"/>
          <w:b/>
          <w:sz w:val="32"/>
          <w:szCs w:val="32"/>
        </w:rPr>
      </w:pPr>
      <w:bookmarkStart w:id="51" w:name="_Toc28627"/>
      <w:r>
        <w:rPr>
          <w:rFonts w:hint="eastAsia" w:ascii="仿宋" w:hAnsi="仿宋" w:eastAsia="仿宋"/>
          <w:b/>
          <w:sz w:val="32"/>
          <w:szCs w:val="32"/>
        </w:rPr>
        <w:t>（三）一般公共预算财政拨款支出决算具体情况</w:t>
      </w:r>
      <w:bookmarkEnd w:id="50"/>
      <w:bookmarkEnd w:id="51"/>
    </w:p>
    <w:p>
      <w:pPr>
        <w:spacing w:line="600" w:lineRule="exact"/>
        <w:ind w:firstLine="642" w:firstLineChars="200"/>
        <w:outlineLvl w:val="2"/>
        <w:rPr>
          <w:rFonts w:ascii="仿宋" w:hAnsi="仿宋" w:eastAsia="仿宋"/>
          <w:sz w:val="32"/>
          <w:szCs w:val="32"/>
        </w:rPr>
      </w:pPr>
      <w:bookmarkStart w:id="52" w:name="_Toc15378460"/>
      <w:bookmarkStart w:id="53" w:name="_Toc15377213"/>
      <w:bookmarkStart w:id="54" w:name="_Toc15377444"/>
      <w:bookmarkStart w:id="55" w:name="_Toc4969"/>
      <w:r>
        <w:rPr>
          <w:rFonts w:hint="eastAsia" w:ascii="仿宋" w:hAnsi="仿宋" w:eastAsia="仿宋"/>
          <w:b/>
          <w:sz w:val="32"/>
          <w:szCs w:val="32"/>
        </w:rPr>
        <w:t>2021年一般公共预算支出决算数为246.89万元</w:t>
      </w:r>
      <w:r>
        <w:rPr>
          <w:rFonts w:hint="eastAsia" w:ascii="仿宋" w:hAnsi="仿宋" w:eastAsia="仿宋"/>
          <w:sz w:val="32"/>
          <w:szCs w:val="32"/>
        </w:rPr>
        <w:t>，</w:t>
      </w:r>
      <w:r>
        <w:rPr>
          <w:rStyle w:val="14"/>
          <w:rFonts w:hint="eastAsia" w:ascii="仿宋" w:hAnsi="仿宋" w:eastAsia="仿宋"/>
          <w:bCs/>
          <w:sz w:val="32"/>
          <w:szCs w:val="32"/>
        </w:rPr>
        <w:t>完成预算92.66</w:t>
      </w:r>
      <w:r>
        <w:rPr>
          <w:rStyle w:val="14"/>
          <w:rFonts w:ascii="仿宋" w:hAnsi="仿宋" w:eastAsia="仿宋"/>
          <w:bCs/>
          <w:sz w:val="32"/>
          <w:szCs w:val="32"/>
        </w:rPr>
        <w:t>%</w:t>
      </w:r>
      <w:r>
        <w:rPr>
          <w:rStyle w:val="14"/>
          <w:rFonts w:hint="eastAsia" w:ascii="仿宋" w:hAnsi="仿宋" w:eastAsia="仿宋"/>
          <w:bCs/>
          <w:sz w:val="32"/>
          <w:szCs w:val="32"/>
        </w:rPr>
        <w:t>。其中：</w:t>
      </w:r>
      <w:bookmarkEnd w:id="52"/>
      <w:bookmarkEnd w:id="53"/>
      <w:bookmarkEnd w:id="54"/>
      <w:bookmarkEnd w:id="55"/>
    </w:p>
    <w:p>
      <w:pPr>
        <w:pStyle w:val="2"/>
        <w:spacing w:beforeLines="0" w:line="600" w:lineRule="exact"/>
        <w:ind w:firstLine="642" w:firstLineChars="200"/>
        <w:rPr>
          <w:rFonts w:ascii="仿宋" w:hAnsi="仿宋" w:eastAsia="仿宋"/>
          <w:sz w:val="32"/>
          <w:szCs w:val="32"/>
        </w:rPr>
      </w:pPr>
      <w:r>
        <w:rPr>
          <w:rFonts w:ascii="仿宋" w:hAnsi="仿宋" w:eastAsia="仿宋"/>
          <w:b/>
          <w:sz w:val="32"/>
          <w:szCs w:val="32"/>
        </w:rPr>
        <w:t>1.</w:t>
      </w:r>
      <w:r>
        <w:rPr>
          <w:rFonts w:hint="eastAsia" w:ascii="仿宋" w:hAnsi="仿宋" w:eastAsia="仿宋"/>
          <w:b/>
          <w:sz w:val="32"/>
          <w:szCs w:val="32"/>
        </w:rPr>
        <w:t>科学技术支出（类）应用研究（款）机构运行（项）</w:t>
      </w:r>
      <w:r>
        <w:rPr>
          <w:rFonts w:ascii="仿宋" w:hAnsi="仿宋" w:eastAsia="仿宋"/>
          <w:b/>
          <w:sz w:val="32"/>
          <w:szCs w:val="32"/>
        </w:rPr>
        <w:t>:</w:t>
      </w:r>
      <w:r>
        <w:rPr>
          <w:rFonts w:ascii="仿宋" w:hAnsi="仿宋" w:eastAsia="仿宋"/>
          <w:sz w:val="32"/>
          <w:szCs w:val="32"/>
        </w:rPr>
        <w:t xml:space="preserve"> </w:t>
      </w:r>
      <w:r>
        <w:rPr>
          <w:rFonts w:hint="eastAsia" w:ascii="仿宋" w:hAnsi="仿宋" w:eastAsia="仿宋"/>
          <w:sz w:val="32"/>
          <w:szCs w:val="32"/>
        </w:rPr>
        <w:t>支出决算为151.04万元，完成预算97.84</w:t>
      </w:r>
      <w:r>
        <w:rPr>
          <w:rFonts w:ascii="仿宋" w:hAnsi="仿宋" w:eastAsia="仿宋"/>
          <w:sz w:val="32"/>
          <w:szCs w:val="32"/>
        </w:rPr>
        <w:t>%</w:t>
      </w:r>
      <w:r>
        <w:rPr>
          <w:rFonts w:hint="eastAsia" w:ascii="仿宋" w:hAnsi="仿宋" w:eastAsia="仿宋"/>
          <w:sz w:val="32"/>
          <w:szCs w:val="32"/>
        </w:rPr>
        <w:t>，决算数小于预算数的主要原因是年中申请追加绩效工资时，对测算的月人数小数进位取整，预算数较实际支出数大。</w:t>
      </w:r>
    </w:p>
    <w:p>
      <w:pPr>
        <w:pStyle w:val="2"/>
        <w:spacing w:beforeLines="0" w:line="600" w:lineRule="exact"/>
        <w:ind w:firstLine="642" w:firstLineChars="200"/>
        <w:rPr>
          <w:rFonts w:ascii="仿宋" w:hAnsi="仿宋" w:eastAsia="仿宋"/>
          <w:sz w:val="32"/>
          <w:szCs w:val="32"/>
        </w:rPr>
      </w:pPr>
      <w:r>
        <w:rPr>
          <w:rFonts w:ascii="仿宋" w:hAnsi="仿宋" w:eastAsia="仿宋"/>
          <w:b/>
          <w:sz w:val="32"/>
          <w:szCs w:val="32"/>
        </w:rPr>
        <w:t>2.</w:t>
      </w:r>
      <w:r>
        <w:rPr>
          <w:rFonts w:hint="eastAsia" w:ascii="仿宋" w:hAnsi="仿宋" w:eastAsia="仿宋"/>
          <w:b/>
          <w:sz w:val="32"/>
          <w:szCs w:val="32"/>
        </w:rPr>
        <w:t>科学技术支出（类）应用研究（款）社会公益研究（项）</w:t>
      </w:r>
      <w:r>
        <w:rPr>
          <w:rFonts w:ascii="仿宋" w:hAnsi="仿宋" w:eastAsia="仿宋"/>
          <w:b/>
          <w:sz w:val="32"/>
          <w:szCs w:val="32"/>
        </w:rPr>
        <w:t xml:space="preserve">: </w:t>
      </w:r>
      <w:r>
        <w:rPr>
          <w:rFonts w:hint="eastAsia" w:ascii="仿宋" w:hAnsi="仿宋" w:eastAsia="仿宋"/>
          <w:sz w:val="32"/>
          <w:szCs w:val="32"/>
        </w:rPr>
        <w:t>支出决算为39.30万元，完成预算71.58</w:t>
      </w:r>
      <w:r>
        <w:rPr>
          <w:rFonts w:ascii="仿宋" w:hAnsi="仿宋" w:eastAsia="仿宋"/>
          <w:sz w:val="32"/>
          <w:szCs w:val="32"/>
        </w:rPr>
        <w:t>%</w:t>
      </w:r>
      <w:r>
        <w:rPr>
          <w:rFonts w:hint="eastAsia" w:ascii="仿宋" w:hAnsi="仿宋" w:eastAsia="仿宋"/>
          <w:sz w:val="32"/>
          <w:szCs w:val="32"/>
        </w:rPr>
        <w:t>，决算数小于预算数的主要原因是：受疫情影响，单位调研人员外出调研工作的情况比预期少，影响单位本年差旅费的支出。</w:t>
      </w:r>
    </w:p>
    <w:p>
      <w:pPr>
        <w:pStyle w:val="2"/>
        <w:spacing w:beforeLines="0" w:line="600" w:lineRule="exact"/>
        <w:ind w:firstLine="642" w:firstLineChars="200"/>
        <w:rPr>
          <w:rFonts w:ascii="仿宋" w:hAnsi="仿宋" w:eastAsia="仿宋"/>
          <w:b/>
          <w:sz w:val="32"/>
          <w:szCs w:val="32"/>
        </w:rPr>
      </w:pPr>
      <w:r>
        <w:rPr>
          <w:rFonts w:hint="eastAsia" w:ascii="仿宋" w:hAnsi="仿宋" w:eastAsia="仿宋"/>
          <w:b/>
          <w:sz w:val="32"/>
          <w:szCs w:val="32"/>
        </w:rPr>
        <w:t>3</w:t>
      </w:r>
      <w:r>
        <w:rPr>
          <w:rFonts w:ascii="仿宋" w:hAnsi="仿宋" w:eastAsia="仿宋"/>
          <w:b/>
          <w:sz w:val="32"/>
          <w:szCs w:val="32"/>
        </w:rPr>
        <w:t>.</w:t>
      </w:r>
      <w:r>
        <w:rPr>
          <w:rFonts w:hint="eastAsia" w:ascii="仿宋" w:hAnsi="仿宋" w:eastAsia="仿宋"/>
          <w:b/>
          <w:sz w:val="32"/>
          <w:szCs w:val="32"/>
        </w:rPr>
        <w:t>社会保障和就业支出（类）行政事业单位养老支出（款）事业单位离退休（项）</w:t>
      </w:r>
      <w:r>
        <w:rPr>
          <w:rFonts w:ascii="仿宋" w:hAnsi="仿宋" w:eastAsia="仿宋"/>
          <w:b/>
          <w:sz w:val="32"/>
          <w:szCs w:val="32"/>
        </w:rPr>
        <w:t>:</w:t>
      </w:r>
      <w:r>
        <w:rPr>
          <w:rFonts w:ascii="仿宋" w:hAnsi="仿宋" w:eastAsia="仿宋"/>
          <w:sz w:val="32"/>
          <w:szCs w:val="32"/>
        </w:rPr>
        <w:t xml:space="preserve"> </w:t>
      </w:r>
      <w:r>
        <w:rPr>
          <w:rFonts w:hint="eastAsia" w:ascii="仿宋" w:hAnsi="仿宋" w:eastAsia="仿宋"/>
          <w:sz w:val="32"/>
          <w:szCs w:val="32"/>
        </w:rPr>
        <w:t>支出决算为3.37万元，完成预算100</w:t>
      </w:r>
      <w:r>
        <w:rPr>
          <w:rFonts w:ascii="仿宋" w:hAnsi="仿宋" w:eastAsia="仿宋"/>
          <w:sz w:val="32"/>
          <w:szCs w:val="32"/>
        </w:rPr>
        <w:t>%</w:t>
      </w:r>
      <w:r>
        <w:rPr>
          <w:rFonts w:hint="eastAsia" w:ascii="仿宋" w:hAnsi="仿宋" w:eastAsia="仿宋"/>
          <w:sz w:val="32"/>
          <w:szCs w:val="32"/>
        </w:rPr>
        <w:t>，决算数等于预算数。</w:t>
      </w:r>
    </w:p>
    <w:p>
      <w:pPr>
        <w:pStyle w:val="2"/>
        <w:spacing w:beforeLines="0" w:line="600" w:lineRule="exact"/>
        <w:ind w:firstLine="642" w:firstLineChars="200"/>
        <w:rPr>
          <w:rFonts w:ascii="仿宋" w:hAnsi="仿宋" w:eastAsia="仿宋"/>
          <w:sz w:val="32"/>
          <w:szCs w:val="32"/>
        </w:rPr>
      </w:pPr>
      <w:r>
        <w:rPr>
          <w:rFonts w:hint="eastAsia" w:ascii="仿宋" w:hAnsi="仿宋" w:eastAsia="仿宋"/>
          <w:b/>
          <w:sz w:val="32"/>
          <w:szCs w:val="32"/>
        </w:rPr>
        <w:t>4</w:t>
      </w:r>
      <w:r>
        <w:rPr>
          <w:rFonts w:ascii="仿宋" w:hAnsi="仿宋" w:eastAsia="仿宋"/>
          <w:b/>
          <w:sz w:val="32"/>
          <w:szCs w:val="32"/>
        </w:rPr>
        <w:t>.</w:t>
      </w:r>
      <w:r>
        <w:rPr>
          <w:rFonts w:hint="eastAsia" w:ascii="仿宋" w:hAnsi="仿宋" w:eastAsia="仿宋"/>
          <w:b/>
          <w:sz w:val="32"/>
          <w:szCs w:val="32"/>
        </w:rPr>
        <w:t>社会保障和就业支出（类）行政事业单位养老支出（款）机关事业单位基本养老保险缴费支出（项）</w:t>
      </w:r>
      <w:r>
        <w:rPr>
          <w:rFonts w:ascii="仿宋" w:hAnsi="仿宋" w:eastAsia="仿宋"/>
          <w:b/>
          <w:sz w:val="32"/>
          <w:szCs w:val="32"/>
        </w:rPr>
        <w:t>:</w:t>
      </w:r>
      <w:r>
        <w:rPr>
          <w:rFonts w:ascii="仿宋" w:hAnsi="仿宋" w:eastAsia="仿宋"/>
          <w:sz w:val="32"/>
          <w:szCs w:val="32"/>
        </w:rPr>
        <w:t xml:space="preserve"> </w:t>
      </w:r>
      <w:r>
        <w:rPr>
          <w:rFonts w:hint="eastAsia" w:ascii="仿宋" w:hAnsi="仿宋" w:eastAsia="仿宋"/>
          <w:sz w:val="32"/>
          <w:szCs w:val="32"/>
        </w:rPr>
        <w:t>支出决算为14.59万元，完成预算99.32</w:t>
      </w:r>
      <w:r>
        <w:rPr>
          <w:rFonts w:ascii="仿宋" w:hAnsi="仿宋" w:eastAsia="仿宋"/>
          <w:sz w:val="32"/>
          <w:szCs w:val="32"/>
        </w:rPr>
        <w:t>%</w:t>
      </w:r>
      <w:r>
        <w:rPr>
          <w:rFonts w:hint="eastAsia" w:ascii="仿宋" w:hAnsi="仿宋" w:eastAsia="仿宋"/>
          <w:sz w:val="32"/>
          <w:szCs w:val="32"/>
        </w:rPr>
        <w:t>，决算数小于预算数的主要原因是测算误差。</w:t>
      </w:r>
    </w:p>
    <w:p>
      <w:pPr>
        <w:pStyle w:val="2"/>
        <w:spacing w:beforeLines="0" w:line="600" w:lineRule="exact"/>
        <w:ind w:firstLine="642" w:firstLineChars="200"/>
        <w:rPr>
          <w:rFonts w:ascii="仿宋" w:hAnsi="仿宋" w:eastAsia="仿宋"/>
          <w:sz w:val="32"/>
          <w:szCs w:val="32"/>
        </w:rPr>
      </w:pPr>
      <w:r>
        <w:rPr>
          <w:rFonts w:hint="eastAsia" w:ascii="仿宋" w:hAnsi="仿宋" w:eastAsia="仿宋"/>
          <w:b/>
          <w:sz w:val="32"/>
          <w:szCs w:val="32"/>
        </w:rPr>
        <w:t>5</w:t>
      </w:r>
      <w:r>
        <w:rPr>
          <w:rFonts w:ascii="仿宋" w:hAnsi="仿宋" w:eastAsia="仿宋"/>
          <w:b/>
          <w:sz w:val="32"/>
          <w:szCs w:val="32"/>
        </w:rPr>
        <w:t>.</w:t>
      </w:r>
      <w:r>
        <w:rPr>
          <w:rFonts w:hint="eastAsia" w:ascii="仿宋" w:hAnsi="仿宋" w:eastAsia="仿宋"/>
          <w:b/>
          <w:sz w:val="32"/>
          <w:szCs w:val="32"/>
        </w:rPr>
        <w:t>社会保障和就业支出（类）行政事业单位养老支出（款）机关事业单位职业年金缴费支出（项）</w:t>
      </w:r>
      <w:r>
        <w:rPr>
          <w:rFonts w:ascii="仿宋" w:hAnsi="仿宋" w:eastAsia="仿宋"/>
          <w:b/>
          <w:sz w:val="32"/>
          <w:szCs w:val="32"/>
        </w:rPr>
        <w:t>:</w:t>
      </w:r>
      <w:r>
        <w:rPr>
          <w:rFonts w:ascii="仿宋" w:hAnsi="仿宋" w:eastAsia="仿宋"/>
          <w:sz w:val="32"/>
          <w:szCs w:val="32"/>
        </w:rPr>
        <w:t xml:space="preserve"> </w:t>
      </w:r>
      <w:r>
        <w:rPr>
          <w:rFonts w:hint="eastAsia" w:ascii="仿宋" w:hAnsi="仿宋" w:eastAsia="仿宋"/>
          <w:sz w:val="32"/>
          <w:szCs w:val="32"/>
        </w:rPr>
        <w:t>支出决算为7.31万元，完成预算99.46</w:t>
      </w:r>
      <w:r>
        <w:rPr>
          <w:rFonts w:ascii="仿宋" w:hAnsi="仿宋" w:eastAsia="仿宋"/>
          <w:sz w:val="32"/>
          <w:szCs w:val="32"/>
        </w:rPr>
        <w:t>%</w:t>
      </w:r>
      <w:r>
        <w:rPr>
          <w:rFonts w:hint="eastAsia" w:ascii="仿宋" w:hAnsi="仿宋" w:eastAsia="仿宋"/>
          <w:sz w:val="32"/>
          <w:szCs w:val="32"/>
        </w:rPr>
        <w:t>，决算数小于预算数的主要原因是测算误差。</w:t>
      </w:r>
    </w:p>
    <w:p>
      <w:pPr>
        <w:pStyle w:val="2"/>
        <w:spacing w:beforeLines="0" w:line="600" w:lineRule="exact"/>
        <w:ind w:firstLine="642" w:firstLineChars="200"/>
        <w:rPr>
          <w:rFonts w:ascii="仿宋" w:hAnsi="仿宋" w:eastAsia="仿宋"/>
          <w:sz w:val="32"/>
          <w:szCs w:val="32"/>
        </w:rPr>
      </w:pPr>
      <w:r>
        <w:rPr>
          <w:rFonts w:hint="eastAsia" w:ascii="仿宋" w:hAnsi="仿宋" w:eastAsia="仿宋"/>
          <w:b/>
          <w:sz w:val="32"/>
          <w:szCs w:val="32"/>
        </w:rPr>
        <w:t>6</w:t>
      </w:r>
      <w:r>
        <w:rPr>
          <w:rFonts w:ascii="仿宋" w:hAnsi="仿宋" w:eastAsia="仿宋"/>
          <w:b/>
          <w:sz w:val="32"/>
          <w:szCs w:val="32"/>
        </w:rPr>
        <w:t>.</w:t>
      </w:r>
      <w:r>
        <w:rPr>
          <w:rFonts w:hint="eastAsia" w:ascii="仿宋" w:hAnsi="仿宋" w:eastAsia="仿宋"/>
          <w:b/>
          <w:sz w:val="32"/>
          <w:szCs w:val="32"/>
        </w:rPr>
        <w:t>社会保障和就业支出（类）其他社会保障和就业支出（款）其他社会保障和就业支出（项）</w:t>
      </w:r>
      <w:r>
        <w:rPr>
          <w:rFonts w:ascii="仿宋" w:hAnsi="仿宋" w:eastAsia="仿宋"/>
          <w:b/>
          <w:sz w:val="32"/>
          <w:szCs w:val="32"/>
        </w:rPr>
        <w:t>:</w:t>
      </w:r>
      <w:r>
        <w:rPr>
          <w:rFonts w:hint="eastAsia" w:ascii="仿宋" w:hAnsi="仿宋" w:eastAsia="仿宋"/>
          <w:sz w:val="32"/>
          <w:szCs w:val="32"/>
        </w:rPr>
        <w:t>支出决算为0.62万元，完成预算100</w:t>
      </w:r>
      <w:r>
        <w:rPr>
          <w:rFonts w:ascii="仿宋" w:hAnsi="仿宋" w:eastAsia="仿宋"/>
          <w:sz w:val="32"/>
          <w:szCs w:val="32"/>
        </w:rPr>
        <w:t>%</w:t>
      </w:r>
      <w:r>
        <w:rPr>
          <w:rFonts w:hint="eastAsia" w:ascii="仿宋" w:hAnsi="仿宋" w:eastAsia="仿宋"/>
          <w:sz w:val="32"/>
          <w:szCs w:val="32"/>
        </w:rPr>
        <w:t>，决算数等于预算数。</w:t>
      </w:r>
    </w:p>
    <w:p>
      <w:pPr>
        <w:pStyle w:val="2"/>
        <w:spacing w:beforeLines="0" w:line="600" w:lineRule="exact"/>
        <w:ind w:firstLine="642" w:firstLineChars="200"/>
        <w:rPr>
          <w:rFonts w:ascii="仿宋" w:hAnsi="仿宋" w:eastAsia="仿宋"/>
          <w:sz w:val="32"/>
          <w:szCs w:val="32"/>
        </w:rPr>
      </w:pPr>
      <w:r>
        <w:rPr>
          <w:rFonts w:hint="eastAsia" w:ascii="仿宋" w:hAnsi="仿宋" w:eastAsia="仿宋"/>
          <w:b/>
          <w:sz w:val="32"/>
          <w:szCs w:val="32"/>
        </w:rPr>
        <w:t>7.卫生健康支出（类）行政事业单位医疗（款）事业单位医疗（项）：</w:t>
      </w:r>
      <w:r>
        <w:rPr>
          <w:rFonts w:hint="eastAsia" w:ascii="仿宋" w:hAnsi="仿宋" w:eastAsia="仿宋"/>
          <w:sz w:val="32"/>
          <w:szCs w:val="32"/>
        </w:rPr>
        <w:t>支出决算为14.76万元，完成预算96.85</w:t>
      </w:r>
      <w:r>
        <w:rPr>
          <w:rFonts w:ascii="仿宋" w:hAnsi="仿宋" w:eastAsia="仿宋"/>
          <w:sz w:val="32"/>
          <w:szCs w:val="32"/>
        </w:rPr>
        <w:t>%</w:t>
      </w:r>
      <w:r>
        <w:rPr>
          <w:rFonts w:hint="eastAsia" w:ascii="仿宋" w:hAnsi="仿宋" w:eastAsia="仿宋"/>
          <w:sz w:val="32"/>
          <w:szCs w:val="32"/>
        </w:rPr>
        <w:t>，决算数小于预算数的主要原因是补充医疗标准不确定，预算存在误差。</w:t>
      </w:r>
    </w:p>
    <w:p>
      <w:pPr>
        <w:pStyle w:val="2"/>
        <w:spacing w:beforeLines="0" w:line="600" w:lineRule="exact"/>
        <w:ind w:firstLine="642" w:firstLineChars="200"/>
        <w:rPr>
          <w:rFonts w:ascii="仿宋" w:hAnsi="仿宋" w:eastAsia="仿宋"/>
          <w:sz w:val="32"/>
          <w:szCs w:val="32"/>
        </w:rPr>
      </w:pPr>
      <w:r>
        <w:rPr>
          <w:rFonts w:hint="eastAsia" w:ascii="仿宋" w:hAnsi="仿宋" w:eastAsia="仿宋"/>
          <w:b/>
          <w:sz w:val="32"/>
          <w:szCs w:val="32"/>
        </w:rPr>
        <w:t>8.住房保障支出（类）住房改革支出（款）住房公积金（项）：</w:t>
      </w:r>
      <w:r>
        <w:rPr>
          <w:rFonts w:hint="eastAsia" w:ascii="仿宋" w:hAnsi="仿宋" w:eastAsia="仿宋"/>
          <w:sz w:val="32"/>
          <w:szCs w:val="32"/>
        </w:rPr>
        <w:t>支出决算为12.09万元，完成预算99.92%，决算数小于预算数的主要原因是测算误差。</w:t>
      </w:r>
    </w:p>
    <w:p>
      <w:pPr>
        <w:spacing w:line="600" w:lineRule="exact"/>
        <w:ind w:firstLine="642" w:firstLineChars="200"/>
        <w:rPr>
          <w:rFonts w:ascii="仿宋" w:hAnsi="仿宋" w:eastAsia="仿宋"/>
          <w:b/>
          <w:sz w:val="32"/>
          <w:szCs w:val="32"/>
        </w:rPr>
      </w:pPr>
      <w:r>
        <w:rPr>
          <w:rFonts w:hint="eastAsia" w:ascii="仿宋" w:hAnsi="仿宋" w:eastAsia="仿宋"/>
          <w:b/>
          <w:sz w:val="32"/>
          <w:szCs w:val="32"/>
        </w:rPr>
        <w:t>9.住房保障支出（类）住房改革支出（款）购房补贴（项）：</w:t>
      </w:r>
      <w:r>
        <w:rPr>
          <w:rFonts w:hint="eastAsia" w:ascii="仿宋" w:hAnsi="仿宋" w:eastAsia="仿宋"/>
          <w:sz w:val="32"/>
          <w:szCs w:val="32"/>
        </w:rPr>
        <w:t>支出决算为3.81万元，完成预算100%，决算数等于预算数。</w:t>
      </w:r>
    </w:p>
    <w:p>
      <w:pPr>
        <w:tabs>
          <w:tab w:val="right" w:pos="8306"/>
        </w:tabs>
        <w:spacing w:line="600" w:lineRule="exact"/>
        <w:ind w:firstLine="640"/>
        <w:outlineLvl w:val="1"/>
        <w:rPr>
          <w:rStyle w:val="25"/>
        </w:rPr>
      </w:pPr>
      <w:bookmarkStart w:id="56" w:name="_Toc21353"/>
      <w:bookmarkStart w:id="57" w:name="_Toc15396608"/>
      <w:bookmarkStart w:id="58" w:name="_Toc15377214"/>
      <w:r>
        <w:rPr>
          <w:rFonts w:hint="eastAsia" w:ascii="黑体" w:eastAsia="黑体"/>
          <w:sz w:val="32"/>
          <w:szCs w:val="32"/>
        </w:rPr>
        <w:t>六、</w:t>
      </w:r>
      <w:r>
        <w:rPr>
          <w:rFonts w:hint="eastAsia" w:ascii="黑体" w:hAnsi="黑体" w:eastAsia="黑体"/>
          <w:sz w:val="32"/>
          <w:szCs w:val="32"/>
        </w:rPr>
        <w:t>一</w:t>
      </w:r>
      <w:r>
        <w:rPr>
          <w:rStyle w:val="25"/>
          <w:rFonts w:hint="eastAsia" w:ascii="黑体" w:hAnsi="黑体" w:eastAsia="黑体"/>
          <w:b w:val="0"/>
          <w:bCs w:val="0"/>
        </w:rPr>
        <w:t>般公</w:t>
      </w:r>
      <w:r>
        <w:rPr>
          <w:rStyle w:val="25"/>
          <w:rFonts w:hint="eastAsia" w:ascii="黑体" w:hAnsi="黑体" w:eastAsia="黑体"/>
          <w:b w:val="0"/>
        </w:rPr>
        <w:t>共预算财政拨款基本支出决算情况说明</w:t>
      </w:r>
      <w:bookmarkEnd w:id="56"/>
      <w:bookmarkEnd w:id="57"/>
      <w:bookmarkEnd w:id="58"/>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w:t>
      </w:r>
      <w:r>
        <w:rPr>
          <w:rFonts w:ascii="仿宋" w:hAnsi="仿宋" w:eastAsia="仿宋"/>
          <w:sz w:val="32"/>
          <w:szCs w:val="32"/>
        </w:rPr>
        <w:t>220.48</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200.53万元，主要包括：基本工资、津贴补贴、绩效工资、机关事业单位基本养老保险缴费、职业年金缴费、职工基本医疗保险缴费、其他社会保障缴费、其他工资福利支出、退休费、奖励金、住房公积金、其他对个人和家庭的补助支出。</w:t>
      </w:r>
    </w:p>
    <w:p>
      <w:pPr>
        <w:spacing w:line="600" w:lineRule="exact"/>
        <w:ind w:firstLine="645"/>
        <w:rPr>
          <w:rFonts w:ascii="仿宋" w:hAnsi="仿宋" w:eastAsia="仿宋"/>
          <w:b/>
          <w:sz w:val="32"/>
          <w:szCs w:val="32"/>
        </w:rPr>
      </w:pPr>
      <w:r>
        <w:rPr>
          <w:rFonts w:hint="eastAsia" w:ascii="仿宋" w:hAnsi="仿宋" w:eastAsia="仿宋"/>
          <w:sz w:val="32"/>
          <w:szCs w:val="32"/>
        </w:rPr>
        <w:t>公用经费19.95万元，主要包括：办公费、水费、电费、物业管理费、差旅费、维修（护）费、培训费、工会经费、福利费、其他商品和服务支出。</w:t>
      </w:r>
    </w:p>
    <w:p>
      <w:pPr>
        <w:spacing w:line="600" w:lineRule="exact"/>
        <w:ind w:firstLine="640"/>
        <w:outlineLvl w:val="1"/>
        <w:rPr>
          <w:rStyle w:val="25"/>
          <w:rFonts w:ascii="黑体" w:hAnsi="黑体" w:eastAsia="黑体"/>
          <w:b w:val="0"/>
        </w:rPr>
      </w:pPr>
      <w:bookmarkStart w:id="59" w:name="_Toc8276"/>
      <w:bookmarkStart w:id="60" w:name="_Toc15396609"/>
      <w:bookmarkStart w:id="61" w:name="_Toc15377215"/>
      <w:r>
        <w:rPr>
          <w:rFonts w:hint="eastAsia" w:ascii="黑体" w:eastAsia="黑体"/>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59"/>
      <w:bookmarkEnd w:id="60"/>
      <w:bookmarkEnd w:id="61"/>
    </w:p>
    <w:p>
      <w:pPr>
        <w:spacing w:line="600" w:lineRule="exact"/>
        <w:ind w:firstLine="640"/>
        <w:outlineLvl w:val="2"/>
        <w:rPr>
          <w:rFonts w:ascii="仿宋" w:hAnsi="仿宋" w:eastAsia="仿宋"/>
          <w:b/>
          <w:sz w:val="32"/>
          <w:szCs w:val="32"/>
        </w:rPr>
      </w:pPr>
      <w:bookmarkStart w:id="62" w:name="_Toc15377216"/>
      <w:bookmarkStart w:id="63" w:name="_Toc11073"/>
      <w:r>
        <w:rPr>
          <w:rFonts w:hint="eastAsia" w:ascii="仿宋" w:hAnsi="仿宋" w:eastAsia="仿宋"/>
          <w:b/>
          <w:sz w:val="32"/>
          <w:szCs w:val="32"/>
        </w:rPr>
        <w:t>（一）“三公”经费财政拨款支出决算总体情况说明</w:t>
      </w:r>
      <w:bookmarkEnd w:id="62"/>
      <w:bookmarkEnd w:id="6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21年“三公”经费财政拨款支出决算为0万元，完成预算0</w:t>
      </w:r>
      <w:r>
        <w:rPr>
          <w:rFonts w:ascii="仿宋" w:hAnsi="仿宋" w:eastAsia="仿宋"/>
          <w:sz w:val="32"/>
          <w:szCs w:val="32"/>
        </w:rPr>
        <w:t>%</w:t>
      </w:r>
      <w:r>
        <w:rPr>
          <w:rFonts w:hint="eastAsia" w:ascii="仿宋" w:hAnsi="仿宋" w:eastAsia="仿宋"/>
          <w:sz w:val="32"/>
          <w:szCs w:val="32"/>
        </w:rPr>
        <w:t>，决算数小于预算数的主要原因是受疫情影响，未开展公务接待活动。</w:t>
      </w:r>
    </w:p>
    <w:p>
      <w:pPr>
        <w:spacing w:line="600" w:lineRule="exact"/>
        <w:ind w:firstLine="640"/>
        <w:outlineLvl w:val="2"/>
        <w:rPr>
          <w:rFonts w:ascii="仿宋" w:hAnsi="仿宋" w:eastAsia="仿宋"/>
          <w:b/>
          <w:sz w:val="32"/>
          <w:szCs w:val="32"/>
        </w:rPr>
      </w:pPr>
      <w:bookmarkStart w:id="64" w:name="_Toc15377217"/>
      <w:bookmarkStart w:id="65" w:name="_Toc11295"/>
      <w:r>
        <w:rPr>
          <w:rFonts w:hint="eastAsia" w:ascii="仿宋" w:hAnsi="仿宋" w:eastAsia="仿宋"/>
          <w:b/>
          <w:sz w:val="32"/>
          <w:szCs w:val="32"/>
        </w:rPr>
        <w:t>（二）“三公”经费财政拨款支出决算具体情况说明</w:t>
      </w:r>
      <w:bookmarkEnd w:id="64"/>
      <w:bookmarkEnd w:id="6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b/>
          <w:sz w:val="32"/>
          <w:szCs w:val="32"/>
        </w:rPr>
      </w:pPr>
      <w:r>
        <w:rPr>
          <w:rFonts w:hint="eastAsia" w:ascii="仿宋" w:hAnsi="仿宋" w:eastAsia="仿宋"/>
          <w:sz w:val="32"/>
          <w:szCs w:val="32"/>
        </w:rPr>
        <w:t>（图7：“三公”经费财政拨款支出结构）（饼状图）</w:t>
      </w:r>
    </w:p>
    <w:p>
      <w:pPr>
        <w:pStyle w:val="2"/>
        <w:spacing w:before="93"/>
        <w:rPr>
          <w:b/>
          <w:sz w:val="32"/>
          <w:szCs w:val="32"/>
        </w:rPr>
      </w:pPr>
      <w:r>
        <w:drawing>
          <wp:inline distT="0" distB="0" distL="0" distR="0">
            <wp:extent cx="5274310" cy="3076575"/>
            <wp:effectExtent l="5080" t="4445" r="16510" b="508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rPr>
          <w:rFonts w:ascii="仿宋" w:hAnsi="仿宋" w:eastAsia="仿宋" w:cs="仿宋"/>
          <w:b/>
          <w:sz w:val="32"/>
          <w:szCs w:val="32"/>
        </w:rPr>
      </w:pPr>
      <w:r>
        <w:rPr>
          <w:rFonts w:hint="eastAsia" w:ascii="仿宋" w:hAnsi="仿宋" w:eastAsia="仿宋" w:cs="仿宋"/>
          <w:b/>
          <w:sz w:val="32"/>
          <w:szCs w:val="32"/>
        </w:rPr>
        <w:t>1.因公出国（境）经费支出</w:t>
      </w:r>
      <w:r>
        <w:rPr>
          <w:rFonts w:hint="eastAsia" w:ascii="仿宋" w:hAnsi="仿宋" w:eastAsia="仿宋" w:cs="仿宋"/>
          <w:sz w:val="32"/>
          <w:szCs w:val="32"/>
        </w:rPr>
        <w:t>0万元，</w:t>
      </w:r>
      <w:r>
        <w:rPr>
          <w:rStyle w:val="14"/>
          <w:rFonts w:hint="eastAsia" w:ascii="仿宋" w:hAnsi="仿宋" w:eastAsia="仿宋" w:cs="仿宋"/>
          <w:b w:val="0"/>
          <w:bCs/>
          <w:sz w:val="32"/>
          <w:szCs w:val="32"/>
        </w:rPr>
        <w:t>完成预算100%。</w:t>
      </w:r>
      <w:r>
        <w:rPr>
          <w:rFonts w:hint="eastAsia" w:ascii="仿宋" w:hAnsi="仿宋" w:eastAsia="仿宋" w:cs="仿宋"/>
          <w:sz w:val="32"/>
          <w:szCs w:val="32"/>
        </w:rPr>
        <w:t>全年安排因公出国（境）团组0次，出国（境）0人。因公出国（境）支出决算与2020年持平。</w:t>
      </w:r>
    </w:p>
    <w:p>
      <w:pPr>
        <w:spacing w:line="600" w:lineRule="exact"/>
        <w:ind w:firstLine="640"/>
        <w:rPr>
          <w:rFonts w:ascii="仿宋" w:hAnsi="仿宋" w:eastAsia="仿宋" w:cs="仿宋"/>
          <w:b/>
          <w:sz w:val="32"/>
          <w:szCs w:val="32"/>
        </w:rPr>
      </w:pPr>
      <w:r>
        <w:rPr>
          <w:rFonts w:hint="eastAsia" w:ascii="仿宋" w:hAnsi="仿宋" w:eastAsia="仿宋" w:cs="仿宋"/>
          <w:b/>
          <w:sz w:val="32"/>
          <w:szCs w:val="32"/>
        </w:rPr>
        <w:t>2.公务用车购置及运行维护费支出</w:t>
      </w:r>
      <w:r>
        <w:rPr>
          <w:rFonts w:hint="eastAsia" w:ascii="仿宋" w:hAnsi="仿宋" w:eastAsia="仿宋" w:cs="仿宋"/>
          <w:sz w:val="32"/>
          <w:szCs w:val="32"/>
        </w:rPr>
        <w:t>0万元,</w:t>
      </w:r>
      <w:r>
        <w:rPr>
          <w:rStyle w:val="14"/>
          <w:rFonts w:hint="eastAsia" w:ascii="仿宋" w:hAnsi="仿宋" w:eastAsia="仿宋" w:cs="仿宋"/>
          <w:b w:val="0"/>
          <w:bCs/>
          <w:sz w:val="32"/>
          <w:szCs w:val="32"/>
        </w:rPr>
        <w:t>完成预算100%。</w:t>
      </w:r>
      <w:r>
        <w:rPr>
          <w:rFonts w:hint="eastAsia" w:ascii="仿宋" w:hAnsi="仿宋" w:eastAsia="仿宋" w:cs="仿宋"/>
          <w:sz w:val="32"/>
          <w:szCs w:val="32"/>
        </w:rPr>
        <w:t>公务用车购置及运行维护费支出决算与2020年持平。</w:t>
      </w:r>
    </w:p>
    <w:p>
      <w:pPr>
        <w:spacing w:line="600" w:lineRule="exact"/>
        <w:ind w:firstLine="640" w:firstLineChars="200"/>
        <w:rPr>
          <w:rFonts w:ascii="仿宋" w:hAnsi="仿宋" w:eastAsia="仿宋" w:cs="仿宋"/>
          <w:b/>
          <w:sz w:val="32"/>
          <w:szCs w:val="32"/>
        </w:rPr>
      </w:pPr>
      <w:r>
        <w:rPr>
          <w:rFonts w:hint="eastAsia" w:ascii="仿宋" w:hAnsi="仿宋" w:eastAsia="仿宋" w:cs="仿宋"/>
          <w:sz w:val="32"/>
          <w:szCs w:val="32"/>
        </w:rPr>
        <w:t>其中：</w:t>
      </w:r>
      <w:r>
        <w:rPr>
          <w:rFonts w:hint="eastAsia" w:ascii="仿宋" w:hAnsi="仿宋" w:eastAsia="仿宋" w:cs="仿宋"/>
          <w:b/>
          <w:sz w:val="32"/>
          <w:szCs w:val="32"/>
        </w:rPr>
        <w:t>公务用车购置支出</w:t>
      </w:r>
      <w:r>
        <w:rPr>
          <w:rFonts w:hint="eastAsia" w:ascii="仿宋" w:hAnsi="仿宋" w:eastAsia="仿宋" w:cs="仿宋"/>
          <w:sz w:val="32"/>
          <w:szCs w:val="32"/>
        </w:rPr>
        <w:t>0万元。全年按规定更新购置公务用车0辆，其中：轿车0辆、金额0万元，越野车0辆、金额0万元，载客汽车0辆、金额0万元。截至2021年12月底，单位共有公务用车0辆，其中：轿车0辆、越野车0辆、载客汽车0辆。</w:t>
      </w:r>
    </w:p>
    <w:p>
      <w:pPr>
        <w:spacing w:line="600" w:lineRule="exact"/>
        <w:ind w:firstLine="640"/>
        <w:rPr>
          <w:rFonts w:ascii="仿宋" w:hAnsi="仿宋" w:eastAsia="仿宋" w:cs="仿宋"/>
          <w:sz w:val="32"/>
          <w:szCs w:val="32"/>
        </w:rPr>
      </w:pPr>
      <w:r>
        <w:rPr>
          <w:rFonts w:hint="eastAsia" w:ascii="仿宋" w:hAnsi="仿宋" w:eastAsia="仿宋" w:cs="仿宋"/>
          <w:b/>
          <w:sz w:val="32"/>
          <w:szCs w:val="32"/>
        </w:rPr>
        <w:t>公务用车运行维护费支出</w:t>
      </w:r>
      <w:r>
        <w:rPr>
          <w:rFonts w:hint="eastAsia" w:ascii="仿宋" w:hAnsi="仿宋" w:eastAsia="仿宋" w:cs="仿宋"/>
          <w:sz w:val="32"/>
          <w:szCs w:val="32"/>
        </w:rPr>
        <w:t>0万元。</w:t>
      </w:r>
    </w:p>
    <w:p>
      <w:pPr>
        <w:spacing w:line="600" w:lineRule="exact"/>
        <w:ind w:firstLine="640"/>
        <w:rPr>
          <w:rFonts w:ascii="仿宋" w:hAnsi="仿宋" w:eastAsia="仿宋" w:cs="仿宋"/>
          <w:sz w:val="32"/>
          <w:szCs w:val="32"/>
        </w:rPr>
      </w:pPr>
      <w:r>
        <w:rPr>
          <w:rFonts w:hint="eastAsia" w:ascii="仿宋" w:hAnsi="仿宋" w:eastAsia="仿宋" w:cs="仿宋"/>
          <w:b/>
          <w:sz w:val="32"/>
          <w:szCs w:val="32"/>
        </w:rPr>
        <w:t>3.公务接待费支出</w:t>
      </w:r>
      <w:r>
        <w:rPr>
          <w:rFonts w:hint="eastAsia" w:ascii="仿宋" w:hAnsi="仿宋" w:eastAsia="仿宋" w:cs="仿宋"/>
          <w:sz w:val="32"/>
          <w:szCs w:val="32"/>
        </w:rPr>
        <w:t>0万元，</w:t>
      </w:r>
      <w:r>
        <w:rPr>
          <w:rStyle w:val="14"/>
          <w:rFonts w:hint="eastAsia" w:ascii="仿宋" w:hAnsi="仿宋" w:eastAsia="仿宋" w:cs="仿宋"/>
          <w:b w:val="0"/>
          <w:bCs/>
          <w:sz w:val="32"/>
          <w:szCs w:val="32"/>
        </w:rPr>
        <w:t>完成预算0%。</w:t>
      </w:r>
      <w:r>
        <w:rPr>
          <w:rFonts w:hint="eastAsia" w:ascii="仿宋" w:hAnsi="仿宋" w:eastAsia="仿宋" w:cs="仿宋"/>
          <w:sz w:val="32"/>
          <w:szCs w:val="32"/>
        </w:rPr>
        <w:t>公务接待费支出决算与2020年持平。其中：</w:t>
      </w:r>
    </w:p>
    <w:p>
      <w:pPr>
        <w:spacing w:line="600" w:lineRule="exact"/>
        <w:ind w:firstLine="640"/>
        <w:rPr>
          <w:rFonts w:ascii="仿宋" w:hAnsi="仿宋" w:eastAsia="仿宋" w:cs="仿宋"/>
          <w:sz w:val="32"/>
          <w:szCs w:val="32"/>
        </w:rPr>
      </w:pPr>
      <w:r>
        <w:rPr>
          <w:rFonts w:hint="eastAsia" w:ascii="仿宋" w:hAnsi="仿宋" w:eastAsia="仿宋" w:cs="仿宋"/>
          <w:b/>
          <w:sz w:val="32"/>
          <w:szCs w:val="32"/>
        </w:rPr>
        <w:t>国内公务接待支出</w:t>
      </w:r>
      <w:r>
        <w:rPr>
          <w:rFonts w:hint="eastAsia" w:ascii="仿宋" w:hAnsi="仿宋" w:eastAsia="仿宋" w:cs="仿宋"/>
          <w:sz w:val="32"/>
          <w:szCs w:val="32"/>
        </w:rPr>
        <w:t>0万元。国内公务接待0批次，0人次（不包括陪同人员），共计支出0万元。</w:t>
      </w:r>
    </w:p>
    <w:p>
      <w:pPr>
        <w:spacing w:line="600" w:lineRule="exact"/>
        <w:ind w:firstLine="642" w:firstLineChars="200"/>
        <w:rPr>
          <w:rFonts w:ascii="黑体" w:eastAsia="黑体"/>
          <w:sz w:val="32"/>
          <w:szCs w:val="32"/>
        </w:rPr>
      </w:pPr>
      <w:r>
        <w:rPr>
          <w:rFonts w:hint="eastAsia" w:ascii="仿宋" w:hAnsi="仿宋" w:eastAsia="仿宋" w:cs="仿宋"/>
          <w:b/>
          <w:sz w:val="32"/>
          <w:szCs w:val="32"/>
        </w:rPr>
        <w:t>外事接待支出</w:t>
      </w:r>
      <w:r>
        <w:rPr>
          <w:rFonts w:hint="eastAsia" w:ascii="仿宋" w:hAnsi="仿宋" w:eastAsia="仿宋" w:cs="仿宋"/>
          <w:sz w:val="32"/>
          <w:szCs w:val="32"/>
        </w:rPr>
        <w:t>0万元，外事接待0批次，0人，共计支出0万元。</w:t>
      </w:r>
      <w:bookmarkStart w:id="66" w:name="_Toc15396610"/>
      <w:bookmarkStart w:id="67" w:name="_Toc15377218"/>
    </w:p>
    <w:p>
      <w:pPr>
        <w:spacing w:line="600" w:lineRule="exact"/>
        <w:ind w:firstLine="640"/>
        <w:outlineLvl w:val="1"/>
        <w:rPr>
          <w:rStyle w:val="25"/>
          <w:rFonts w:ascii="黑体" w:hAnsi="黑体" w:eastAsia="黑体"/>
        </w:rPr>
      </w:pPr>
      <w:bookmarkStart w:id="68" w:name="_Toc8322"/>
      <w:r>
        <w:rPr>
          <w:rFonts w:hint="eastAsia" w:ascii="黑体" w:eastAsia="黑体"/>
          <w:sz w:val="32"/>
          <w:szCs w:val="32"/>
        </w:rPr>
        <w:t>八、</w:t>
      </w:r>
      <w:r>
        <w:rPr>
          <w:rStyle w:val="25"/>
          <w:rFonts w:hint="eastAsia" w:ascii="黑体" w:hAnsi="黑体" w:eastAsia="黑体"/>
          <w:b w:val="0"/>
        </w:rPr>
        <w:t>政府性基金预算支出决算情况说明</w:t>
      </w:r>
      <w:bookmarkEnd w:id="66"/>
      <w:bookmarkEnd w:id="67"/>
      <w:bookmarkEnd w:id="68"/>
    </w:p>
    <w:p>
      <w:pPr>
        <w:spacing w:line="600" w:lineRule="exact"/>
        <w:ind w:firstLine="640"/>
        <w:rPr>
          <w:rFonts w:ascii="仿宋_GB2312" w:eastAsia="仿宋_GB2312"/>
          <w:sz w:val="32"/>
          <w:szCs w:val="32"/>
        </w:rPr>
      </w:pPr>
      <w:r>
        <w:rPr>
          <w:rFonts w:hint="eastAsia" w:ascii="仿宋" w:hAnsi="仿宋" w:eastAsia="仿宋" w:cs="仿宋"/>
          <w:sz w:val="32"/>
          <w:szCs w:val="32"/>
        </w:rPr>
        <w:t>2021年政府性基金预算财政拨款支出0万元。</w:t>
      </w:r>
    </w:p>
    <w:p>
      <w:pPr>
        <w:numPr>
          <w:ilvl w:val="0"/>
          <w:numId w:val="2"/>
        </w:numPr>
        <w:spacing w:line="600" w:lineRule="exact"/>
        <w:ind w:firstLine="640"/>
        <w:outlineLvl w:val="1"/>
        <w:rPr>
          <w:rStyle w:val="25"/>
          <w:rFonts w:ascii="黑体" w:hAnsi="黑体" w:eastAsia="黑体"/>
          <w:b w:val="0"/>
        </w:rPr>
      </w:pPr>
      <w:bookmarkStart w:id="69" w:name="_Toc15396611"/>
      <w:bookmarkStart w:id="70" w:name="_Toc15377219"/>
      <w:bookmarkStart w:id="71" w:name="_Toc2706"/>
      <w:r>
        <w:rPr>
          <w:rStyle w:val="25"/>
          <w:rFonts w:hint="eastAsia" w:ascii="黑体" w:hAnsi="黑体" w:eastAsia="黑体"/>
          <w:b w:val="0"/>
        </w:rPr>
        <w:t>国有资本经营预算支出决算情况说明</w:t>
      </w:r>
      <w:bookmarkEnd w:id="69"/>
      <w:bookmarkEnd w:id="70"/>
      <w:bookmarkEnd w:id="71"/>
    </w:p>
    <w:p>
      <w:pPr>
        <w:spacing w:line="600" w:lineRule="exact"/>
        <w:ind w:firstLine="640"/>
        <w:rPr>
          <w:rFonts w:ascii="方正小标宋简体" w:hAnsi="方正小标宋简体" w:eastAsia="方正小标宋简体" w:cs="方正小标宋简体"/>
          <w:sz w:val="44"/>
          <w:szCs w:val="44"/>
        </w:rPr>
      </w:pPr>
      <w:r>
        <w:rPr>
          <w:rFonts w:hint="eastAsia" w:ascii="仿宋" w:hAnsi="仿宋" w:eastAsia="仿宋" w:cs="仿宋"/>
          <w:sz w:val="32"/>
          <w:szCs w:val="32"/>
        </w:rPr>
        <w:t>2021年国有资本经营预算财政拨款支出0万元。</w:t>
      </w:r>
    </w:p>
    <w:p>
      <w:pPr>
        <w:numPr>
          <w:ilvl w:val="0"/>
          <w:numId w:val="2"/>
        </w:numPr>
        <w:spacing w:line="600" w:lineRule="exact"/>
        <w:ind w:firstLine="640"/>
        <w:outlineLvl w:val="1"/>
        <w:rPr>
          <w:rStyle w:val="25"/>
          <w:rFonts w:ascii="黑体" w:hAnsi="黑体" w:eastAsia="黑体"/>
          <w:b w:val="0"/>
        </w:rPr>
      </w:pPr>
      <w:bookmarkStart w:id="72" w:name="_Toc15396612"/>
      <w:bookmarkStart w:id="73" w:name="_Toc12843"/>
      <w:bookmarkStart w:id="74" w:name="_Toc15377221"/>
      <w:r>
        <w:rPr>
          <w:rStyle w:val="25"/>
          <w:rFonts w:hint="eastAsia" w:ascii="黑体" w:hAnsi="黑体" w:eastAsia="黑体"/>
          <w:b w:val="0"/>
        </w:rPr>
        <w:t>其他重要事项的情况说明</w:t>
      </w:r>
      <w:bookmarkEnd w:id="72"/>
      <w:bookmarkEnd w:id="73"/>
      <w:bookmarkEnd w:id="74"/>
    </w:p>
    <w:p>
      <w:pPr>
        <w:spacing w:line="600" w:lineRule="exact"/>
        <w:ind w:firstLine="642" w:firstLineChars="200"/>
        <w:outlineLvl w:val="2"/>
        <w:rPr>
          <w:rFonts w:ascii="仿宋" w:hAnsi="仿宋" w:eastAsia="仿宋"/>
          <w:sz w:val="32"/>
          <w:szCs w:val="32"/>
        </w:rPr>
      </w:pPr>
      <w:bookmarkStart w:id="75" w:name="_Toc6073"/>
      <w:bookmarkStart w:id="76" w:name="_Toc15377222"/>
      <w:r>
        <w:rPr>
          <w:rFonts w:hint="eastAsia" w:ascii="仿宋" w:hAnsi="仿宋" w:eastAsia="仿宋"/>
          <w:b/>
          <w:sz w:val="32"/>
          <w:szCs w:val="32"/>
        </w:rPr>
        <w:t>（一）机关运行经费支出情况</w:t>
      </w:r>
      <w:bookmarkEnd w:id="75"/>
      <w:bookmarkEnd w:id="76"/>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四川省国际经济贸易研究所为事业单位，无机关运行费。</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77" w:name="_Toc26867"/>
      <w:bookmarkStart w:id="78" w:name="_Toc15377223"/>
      <w:r>
        <w:rPr>
          <w:rFonts w:hint="eastAsia" w:ascii="仿宋" w:hAnsi="仿宋" w:eastAsia="仿宋"/>
          <w:b/>
          <w:sz w:val="32"/>
          <w:szCs w:val="32"/>
        </w:rPr>
        <w:t>（二）政府采购支出情况</w:t>
      </w:r>
      <w:bookmarkEnd w:id="77"/>
      <w:bookmarkEnd w:id="78"/>
    </w:p>
    <w:p>
      <w:pPr>
        <w:spacing w:line="600" w:lineRule="exact"/>
        <w:ind w:firstLine="640" w:firstLineChars="200"/>
        <w:rPr>
          <w:rFonts w:ascii="仿宋" w:hAnsi="仿宋" w:eastAsia="仿宋" w:cs="仿宋"/>
          <w:b/>
          <w:sz w:val="32"/>
          <w:szCs w:val="32"/>
        </w:rPr>
      </w:pPr>
      <w:r>
        <w:rPr>
          <w:rFonts w:hint="eastAsia" w:ascii="仿宋" w:hAnsi="仿宋" w:eastAsia="仿宋" w:cs="仿宋"/>
          <w:sz w:val="32"/>
          <w:szCs w:val="32"/>
        </w:rPr>
        <w:t>2021年，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autoSpaceDE w:val="0"/>
        <w:autoSpaceDN w:val="0"/>
        <w:adjustRightInd w:val="0"/>
        <w:spacing w:line="600" w:lineRule="exact"/>
        <w:ind w:firstLine="642" w:firstLineChars="200"/>
        <w:jc w:val="left"/>
        <w:outlineLvl w:val="2"/>
        <w:rPr>
          <w:rFonts w:ascii="仿宋" w:hAnsi="仿宋" w:eastAsia="仿宋" w:cs="仿宋"/>
          <w:b/>
          <w:sz w:val="32"/>
          <w:szCs w:val="32"/>
        </w:rPr>
      </w:pPr>
      <w:bookmarkStart w:id="79" w:name="_Toc15377224"/>
      <w:bookmarkStart w:id="80" w:name="_Toc27333"/>
      <w:r>
        <w:rPr>
          <w:rFonts w:hint="eastAsia" w:ascii="仿宋" w:hAnsi="仿宋" w:eastAsia="仿宋" w:cs="仿宋"/>
          <w:b/>
          <w:sz w:val="32"/>
          <w:szCs w:val="32"/>
        </w:rPr>
        <w:t>（三）国有资产占有使用情况</w:t>
      </w:r>
      <w:bookmarkEnd w:id="79"/>
      <w:bookmarkEnd w:id="80"/>
    </w:p>
    <w:p>
      <w:pPr>
        <w:autoSpaceDE w:val="0"/>
        <w:autoSpaceDN w:val="0"/>
        <w:adjustRightIn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截至2021年12月31日，共有车辆0辆，其中：主要领导干部用车0辆、机要通信用车0辆、应急保障用车0辆、其他用车0辆。单价50万元以上通用设备0台（套），单价100万元以上专用设备0台（套）。</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81" w:name="_Toc21309"/>
      <w:r>
        <w:rPr>
          <w:rFonts w:hint="eastAsia" w:ascii="仿宋" w:hAnsi="仿宋" w:eastAsia="仿宋"/>
          <w:b/>
          <w:sz w:val="32"/>
          <w:szCs w:val="32"/>
        </w:rPr>
        <w:t>（四）预算绩效管理情况</w:t>
      </w:r>
      <w:bookmarkEnd w:id="81"/>
    </w:p>
    <w:p>
      <w:pPr>
        <w:spacing w:line="580" w:lineRule="exact"/>
        <w:ind w:firstLine="640" w:firstLineChars="200"/>
        <w:rPr>
          <w:rFonts w:ascii="仿宋_GB2312" w:hAnsi="仿宋_GB2312" w:eastAsia="仿宋_GB2312" w:cs="仿宋_GB2312"/>
          <w:sz w:val="32"/>
          <w:szCs w:val="32"/>
        </w:rPr>
      </w:pPr>
      <w:r>
        <w:rPr>
          <w:rFonts w:hint="eastAsia" w:ascii="仿宋" w:hAnsi="仿宋" w:eastAsia="仿宋" w:cs="仿宋"/>
          <w:sz w:val="32"/>
          <w:szCs w:val="32"/>
        </w:rPr>
        <w:t>根据预算绩效管理要求，本单位在2021年度预算编制阶段，无符合预算事前绩效评估条件的项目，无100万以上特定目标类预算项目，不需要编制绩效目标，不需要开展绩效监控，不需要开展绩效自评，2021年特定目标类部门预算项目绩效目标自评表见附件（第四部分）。</w:t>
      </w:r>
    </w:p>
    <w:p>
      <w:pPr>
        <w:autoSpaceDE w:val="0"/>
        <w:autoSpaceDN w:val="0"/>
        <w:adjustRightInd w:val="0"/>
        <w:spacing w:line="600" w:lineRule="exact"/>
        <w:ind w:firstLine="642" w:firstLineChars="200"/>
        <w:rPr>
          <w:rFonts w:ascii="仿宋" w:hAnsi="仿宋" w:eastAsia="仿宋"/>
          <w:b/>
          <w:sz w:val="32"/>
          <w:szCs w:val="32"/>
        </w:rPr>
      </w:pPr>
    </w:p>
    <w:p>
      <w:pPr>
        <w:pStyle w:val="2"/>
        <w:spacing w:before="93"/>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24"/>
          <w:rFonts w:ascii="黑体" w:hAnsi="黑体" w:eastAsia="黑体"/>
          <w:b w:val="0"/>
        </w:rPr>
      </w:pPr>
      <w:bookmarkStart w:id="82" w:name="_Toc9405"/>
      <w:bookmarkStart w:id="83" w:name="_Toc15396613"/>
      <w:bookmarkStart w:id="84" w:name="_Toc15377225"/>
      <w:r>
        <w:rPr>
          <w:rFonts w:hint="eastAsia" w:ascii="黑体" w:hAnsi="黑体" w:eastAsia="黑体"/>
          <w:sz w:val="44"/>
          <w:szCs w:val="44"/>
        </w:rPr>
        <w:t>名</w:t>
      </w:r>
      <w:r>
        <w:rPr>
          <w:rStyle w:val="24"/>
          <w:rFonts w:hint="eastAsia" w:ascii="黑体" w:hAnsi="黑体" w:eastAsia="黑体"/>
          <w:b w:val="0"/>
        </w:rPr>
        <w:t>词解释</w:t>
      </w:r>
      <w:bookmarkEnd w:id="82"/>
      <w:bookmarkEnd w:id="83"/>
      <w:bookmarkEnd w:id="84"/>
    </w:p>
    <w:p>
      <w:pPr>
        <w:spacing w:line="600" w:lineRule="exact"/>
        <w:jc w:val="left"/>
        <w:rPr>
          <w:rFonts w:ascii="宋体"/>
          <w:b/>
          <w:sz w:val="44"/>
          <w:szCs w:val="44"/>
        </w:rPr>
      </w:pPr>
    </w:p>
    <w:p>
      <w:pPr>
        <w:ind w:firstLine="640" w:firstLineChars="200"/>
        <w:rPr>
          <w:rFonts w:ascii="仿宋" w:hAnsi="仿宋" w:eastAsia="仿宋" w:cs="仿宋"/>
          <w:sz w:val="32"/>
          <w:szCs w:val="32"/>
        </w:rPr>
      </w:pPr>
      <w:r>
        <w:rPr>
          <w:rFonts w:hint="eastAsia" w:ascii="仿宋" w:hAnsi="仿宋" w:eastAsia="仿宋" w:cs="仿宋"/>
          <w:sz w:val="32"/>
          <w:szCs w:val="32"/>
        </w:rPr>
        <w:t>1.财政拨款收入：指单位从同级财政部门取得的财政预算资金。</w:t>
      </w:r>
    </w:p>
    <w:p>
      <w:pPr>
        <w:ind w:firstLine="640" w:firstLineChars="200"/>
        <w:rPr>
          <w:rFonts w:ascii="仿宋" w:hAnsi="仿宋" w:eastAsia="仿宋" w:cs="仿宋"/>
          <w:sz w:val="32"/>
          <w:szCs w:val="32"/>
        </w:rPr>
      </w:pPr>
      <w:r>
        <w:rPr>
          <w:rFonts w:hint="eastAsia" w:ascii="仿宋" w:hAnsi="仿宋" w:eastAsia="仿宋" w:cs="仿宋"/>
          <w:sz w:val="32"/>
          <w:szCs w:val="32"/>
        </w:rPr>
        <w:t>2.事业收入：指事业单位开展专业业务活动及辅助活动取得的收入。</w:t>
      </w:r>
    </w:p>
    <w:p>
      <w:pPr>
        <w:ind w:firstLine="640" w:firstLineChars="200"/>
        <w:rPr>
          <w:rFonts w:ascii="仿宋" w:hAnsi="仿宋" w:eastAsia="仿宋" w:cs="仿宋"/>
          <w:sz w:val="32"/>
          <w:szCs w:val="32"/>
        </w:rPr>
      </w:pPr>
      <w:r>
        <w:rPr>
          <w:rFonts w:hint="eastAsia" w:ascii="仿宋" w:hAnsi="仿宋" w:eastAsia="仿宋" w:cs="仿宋"/>
          <w:sz w:val="32"/>
          <w:szCs w:val="32"/>
        </w:rPr>
        <w:t>3.经营收入：指事业单位在专业业务活动及其辅助活动之外开展非独立核算经营活动取得的收入。</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4.其他收入：指单位取得的除上述收入以外的各项收入。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5.使用非财政拨款结余：指事业单位使用以前年度积累的非财政拨款结余弥补当年收支差额的金额。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6.年初结转和结余：指以前年度尚未完成、结转到本年按有关规定继续使用的资金。 </w:t>
      </w:r>
    </w:p>
    <w:p>
      <w:pPr>
        <w:ind w:firstLine="640" w:firstLineChars="200"/>
        <w:rPr>
          <w:rFonts w:ascii="仿宋" w:hAnsi="仿宋" w:eastAsia="仿宋" w:cs="仿宋"/>
          <w:sz w:val="32"/>
          <w:szCs w:val="32"/>
        </w:rPr>
      </w:pPr>
      <w:r>
        <w:rPr>
          <w:rFonts w:hint="eastAsia" w:ascii="仿宋" w:hAnsi="仿宋" w:eastAsia="仿宋" w:cs="仿宋"/>
          <w:sz w:val="32"/>
          <w:szCs w:val="32"/>
        </w:rPr>
        <w:t>7.结余分配：指事业单位按照会计制度规定缴纳的所得税、提取的专用结余以及转入非财政拨款结余的金额等。</w:t>
      </w:r>
    </w:p>
    <w:p>
      <w:pPr>
        <w:ind w:firstLine="640" w:firstLineChars="200"/>
        <w:rPr>
          <w:rFonts w:ascii="仿宋" w:hAnsi="仿宋" w:eastAsia="仿宋" w:cs="仿宋"/>
          <w:sz w:val="32"/>
          <w:szCs w:val="32"/>
        </w:rPr>
      </w:pPr>
      <w:r>
        <w:rPr>
          <w:rFonts w:hint="eastAsia" w:ascii="仿宋" w:hAnsi="仿宋" w:eastAsia="仿宋" w:cs="仿宋"/>
          <w:sz w:val="32"/>
          <w:szCs w:val="32"/>
        </w:rPr>
        <w:t>8.年末结转和结余：指单位按有关规定结转到下年或以后年度继续使用的资金。</w:t>
      </w:r>
    </w:p>
    <w:p>
      <w:pPr>
        <w:ind w:firstLine="640" w:firstLineChars="200"/>
        <w:rPr>
          <w:rFonts w:ascii="仿宋" w:hAnsi="仿宋" w:eastAsia="仿宋" w:cs="仿宋"/>
          <w:sz w:val="32"/>
          <w:szCs w:val="32"/>
        </w:rPr>
      </w:pPr>
      <w:r>
        <w:rPr>
          <w:rFonts w:hint="eastAsia" w:ascii="仿宋" w:hAnsi="仿宋" w:eastAsia="仿宋" w:cs="仿宋"/>
          <w:sz w:val="32"/>
          <w:szCs w:val="32"/>
        </w:rPr>
        <w:t>9.科学技术（类）应用研究（款）机构运行（项）：指四川省国际经济贸易研究所的基本支出。</w:t>
      </w:r>
    </w:p>
    <w:p>
      <w:pPr>
        <w:ind w:firstLine="640" w:firstLineChars="200"/>
        <w:rPr>
          <w:rFonts w:ascii="仿宋" w:hAnsi="仿宋" w:eastAsia="仿宋" w:cs="仿宋"/>
          <w:sz w:val="32"/>
          <w:szCs w:val="32"/>
        </w:rPr>
      </w:pPr>
      <w:r>
        <w:rPr>
          <w:rFonts w:hint="eastAsia" w:ascii="仿宋" w:hAnsi="仿宋" w:eastAsia="仿宋" w:cs="仿宋"/>
          <w:sz w:val="32"/>
          <w:szCs w:val="32"/>
        </w:rPr>
        <w:t>10.科学技术支出（类）应用研究（款）社会公益研究（项）：指四川省国际经济贸易研究所从事社会公益研究支出。</w:t>
      </w:r>
    </w:p>
    <w:p>
      <w:pPr>
        <w:ind w:firstLine="640" w:firstLineChars="200"/>
        <w:rPr>
          <w:rFonts w:ascii="仿宋" w:hAnsi="仿宋" w:eastAsia="仿宋" w:cs="仿宋"/>
          <w:sz w:val="32"/>
          <w:szCs w:val="32"/>
        </w:rPr>
      </w:pPr>
      <w:r>
        <w:rPr>
          <w:rFonts w:hint="eastAsia" w:ascii="仿宋" w:hAnsi="仿宋" w:eastAsia="仿宋" w:cs="仿宋"/>
          <w:sz w:val="32"/>
          <w:szCs w:val="32"/>
        </w:rPr>
        <w:t>11.社会保障和就业支出（类）行政事业单位养老支出（款）事业单位离退休（项）：指单位离退休人员补助。</w:t>
      </w:r>
    </w:p>
    <w:p>
      <w:pPr>
        <w:ind w:firstLine="640" w:firstLineChars="200"/>
        <w:rPr>
          <w:rFonts w:ascii="仿宋" w:hAnsi="仿宋" w:eastAsia="仿宋" w:cs="仿宋"/>
          <w:sz w:val="32"/>
          <w:szCs w:val="32"/>
        </w:rPr>
      </w:pPr>
      <w:r>
        <w:rPr>
          <w:rFonts w:hint="eastAsia" w:ascii="仿宋" w:hAnsi="仿宋" w:eastAsia="仿宋" w:cs="仿宋"/>
          <w:sz w:val="32"/>
          <w:szCs w:val="32"/>
        </w:rPr>
        <w:t>12.社会保障和就业支出（类）行政事业单位养老支出（款）机关事业单位基本养老保险缴费支出（项）：指单位实施养老保险制度由单位缴纳的基本养老保险费支出。</w:t>
      </w:r>
    </w:p>
    <w:p>
      <w:pPr>
        <w:ind w:firstLine="640" w:firstLineChars="200"/>
        <w:rPr>
          <w:rFonts w:ascii="仿宋" w:hAnsi="仿宋" w:eastAsia="仿宋" w:cs="仿宋"/>
          <w:sz w:val="32"/>
          <w:szCs w:val="32"/>
        </w:rPr>
      </w:pPr>
      <w:r>
        <w:rPr>
          <w:rFonts w:hint="eastAsia" w:ascii="仿宋" w:hAnsi="仿宋" w:eastAsia="仿宋" w:cs="仿宋"/>
          <w:sz w:val="32"/>
          <w:szCs w:val="32"/>
        </w:rPr>
        <w:t>13.社会保障和就业支出（类）行政事业单位养老支出（款）机关事业单位职业年金缴费支出（项）：指单位实施养老保险制度由单位实际缴纳的职业年金支出。</w:t>
      </w:r>
    </w:p>
    <w:p>
      <w:pPr>
        <w:ind w:firstLine="640" w:firstLineChars="200"/>
        <w:rPr>
          <w:rFonts w:ascii="仿宋" w:hAnsi="仿宋" w:eastAsia="仿宋" w:cs="仿宋"/>
          <w:sz w:val="32"/>
          <w:szCs w:val="32"/>
        </w:rPr>
      </w:pPr>
      <w:r>
        <w:rPr>
          <w:rFonts w:hint="eastAsia" w:ascii="仿宋" w:hAnsi="仿宋" w:eastAsia="仿宋" w:cs="仿宋"/>
          <w:sz w:val="32"/>
          <w:szCs w:val="32"/>
        </w:rPr>
        <w:t>14.社会保障和就业支出（类）其他社会保障和就业支出（款）其他社会保障和就业支出（项）：指单位其他社会保障和就业支出。</w:t>
      </w:r>
    </w:p>
    <w:p>
      <w:pPr>
        <w:ind w:firstLine="640" w:firstLineChars="200"/>
        <w:rPr>
          <w:rFonts w:ascii="仿宋" w:hAnsi="仿宋" w:eastAsia="仿宋" w:cs="仿宋"/>
          <w:sz w:val="32"/>
          <w:szCs w:val="32"/>
        </w:rPr>
      </w:pPr>
      <w:r>
        <w:rPr>
          <w:rFonts w:hint="eastAsia" w:ascii="仿宋" w:hAnsi="仿宋" w:eastAsia="仿宋" w:cs="仿宋"/>
          <w:sz w:val="32"/>
          <w:szCs w:val="32"/>
        </w:rPr>
        <w:t>15.卫生健康支出（类）行政事业单位医疗（款）事业单位医疗（项）：指事业单位基本医疗保险缴费。</w:t>
      </w:r>
    </w:p>
    <w:p>
      <w:pPr>
        <w:ind w:firstLine="640" w:firstLineChars="200"/>
        <w:rPr>
          <w:rFonts w:ascii="仿宋" w:hAnsi="仿宋" w:eastAsia="仿宋" w:cs="仿宋"/>
          <w:sz w:val="32"/>
          <w:szCs w:val="32"/>
        </w:rPr>
      </w:pPr>
      <w:r>
        <w:rPr>
          <w:rFonts w:hint="eastAsia" w:ascii="仿宋" w:hAnsi="仿宋" w:eastAsia="仿宋" w:cs="仿宋"/>
          <w:sz w:val="32"/>
          <w:szCs w:val="32"/>
        </w:rPr>
        <w:t>16.住房保障支出（类）住房改革支出（款）住房公积金（项）：指单位按照人力资源和社会保障以及财政部门规定的基本工资和津贴补贴以及规定的比例为职工缴纳的住房公积金。</w:t>
      </w:r>
    </w:p>
    <w:p>
      <w:pPr>
        <w:ind w:firstLine="640" w:firstLineChars="200"/>
        <w:rPr>
          <w:rFonts w:ascii="仿宋" w:hAnsi="仿宋" w:eastAsia="仿宋" w:cs="仿宋"/>
          <w:sz w:val="32"/>
          <w:szCs w:val="32"/>
        </w:rPr>
      </w:pPr>
      <w:r>
        <w:rPr>
          <w:rFonts w:hint="eastAsia" w:ascii="仿宋" w:hAnsi="仿宋" w:eastAsia="仿宋" w:cs="仿宋"/>
          <w:sz w:val="32"/>
          <w:szCs w:val="32"/>
        </w:rPr>
        <w:t>17.住房保障支出（类）住房改革支出（款）购房补贴（项）：指单位按照房改政策规定向符合条件职工（含离退休人员）用于购买住房的补贴。</w:t>
      </w:r>
    </w:p>
    <w:p>
      <w:pPr>
        <w:ind w:firstLine="640" w:firstLineChars="200"/>
        <w:rPr>
          <w:rFonts w:ascii="仿宋" w:hAnsi="仿宋" w:eastAsia="仿宋" w:cs="仿宋"/>
          <w:sz w:val="32"/>
          <w:szCs w:val="32"/>
        </w:rPr>
      </w:pPr>
      <w:r>
        <w:rPr>
          <w:rFonts w:hint="eastAsia" w:ascii="仿宋" w:hAnsi="仿宋" w:eastAsia="仿宋" w:cs="仿宋"/>
          <w:sz w:val="32"/>
          <w:szCs w:val="32"/>
        </w:rPr>
        <w:t>18.基本支出：指为保障机构正常运转、完成日常工作任务而发生的人员支出和公用支出。</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19.项目支出：指在基本支出之外为完成特定行政任务和事业发展目标所发生的支出。 </w:t>
      </w:r>
    </w:p>
    <w:p>
      <w:pPr>
        <w:ind w:firstLine="640" w:firstLineChars="200"/>
        <w:rPr>
          <w:rFonts w:ascii="仿宋" w:hAnsi="仿宋" w:eastAsia="仿宋" w:cs="仿宋"/>
          <w:sz w:val="32"/>
          <w:szCs w:val="32"/>
        </w:rPr>
      </w:pPr>
      <w:r>
        <w:rPr>
          <w:rFonts w:hint="eastAsia" w:ascii="仿宋" w:hAnsi="仿宋" w:eastAsia="仿宋" w:cs="仿宋"/>
          <w:sz w:val="32"/>
          <w:szCs w:val="32"/>
        </w:rPr>
        <w:t>20.经营支出：指事业单位在专业业务活动及其辅助活动之外开展非独立核算经营活动发生的支出。</w:t>
      </w:r>
    </w:p>
    <w:p>
      <w:pPr>
        <w:ind w:firstLine="640" w:firstLineChars="200"/>
        <w:rPr>
          <w:rFonts w:ascii="仿宋" w:hAnsi="仿宋" w:eastAsia="仿宋" w:cs="仿宋"/>
          <w:sz w:val="32"/>
          <w:szCs w:val="32"/>
        </w:rPr>
      </w:pPr>
      <w:r>
        <w:rPr>
          <w:rFonts w:hint="eastAsia" w:ascii="仿宋" w:hAnsi="仿宋" w:eastAsia="仿宋" w:cs="仿宋"/>
          <w:sz w:val="32"/>
          <w:szCs w:val="32"/>
        </w:rPr>
        <w:t>21.“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hAnsi="仿宋"/>
          <w:color w:val="auto"/>
          <w:sz w:val="32"/>
          <w:szCs w:val="32"/>
        </w:rPr>
      </w:pPr>
    </w:p>
    <w:p>
      <w:pPr>
        <w:spacing w:line="600" w:lineRule="exact"/>
        <w:jc w:val="center"/>
        <w:outlineLvl w:val="0"/>
        <w:rPr>
          <w:rStyle w:val="24"/>
          <w:rFonts w:ascii="黑体" w:hAnsi="黑体" w:eastAsia="黑体"/>
          <w:b w:val="0"/>
        </w:rPr>
      </w:pPr>
      <w:bookmarkStart w:id="85" w:name="_Toc15377226"/>
      <w:r>
        <w:rPr>
          <w:rFonts w:ascii="宋体"/>
          <w:b/>
          <w:sz w:val="44"/>
          <w:szCs w:val="44"/>
        </w:rPr>
        <w:br w:type="page"/>
      </w:r>
      <w:bookmarkStart w:id="86" w:name="_Toc15396614"/>
      <w:bookmarkStart w:id="87" w:name="_Toc20853"/>
      <w:r>
        <w:rPr>
          <w:rFonts w:hint="eastAsia" w:ascii="黑体" w:hAnsi="黑体" w:eastAsia="黑体"/>
          <w:sz w:val="44"/>
          <w:szCs w:val="44"/>
        </w:rPr>
        <w:t>第</w:t>
      </w:r>
      <w:r>
        <w:rPr>
          <w:rStyle w:val="24"/>
          <w:rFonts w:hint="eastAsia" w:ascii="黑体" w:hAnsi="黑体" w:eastAsia="黑体"/>
          <w:b w:val="0"/>
        </w:rPr>
        <w:t>四部分 附件</w:t>
      </w:r>
      <w:bookmarkEnd w:id="86"/>
      <w:bookmarkEnd w:id="87"/>
    </w:p>
    <w:p>
      <w:pPr>
        <w:spacing w:line="572" w:lineRule="exact"/>
        <w:jc w:val="left"/>
        <w:outlineLvl w:val="0"/>
        <w:rPr>
          <w:rFonts w:ascii="仿宋_GB2312" w:hAnsi="仿宋_GB2312" w:eastAsia="仿宋_GB2312" w:cs="仿宋_GB2312"/>
          <w:sz w:val="32"/>
          <w:szCs w:val="32"/>
        </w:rPr>
      </w:pPr>
      <w:bookmarkStart w:id="88" w:name="_Toc25044"/>
      <w:r>
        <w:rPr>
          <w:rFonts w:hint="eastAsia" w:ascii="黑体" w:hAnsi="黑体" w:eastAsia="黑体" w:cs="黑体"/>
          <w:sz w:val="32"/>
          <w:szCs w:val="32"/>
        </w:rPr>
        <w:t>附件</w:t>
      </w:r>
      <w:bookmarkEnd w:id="88"/>
    </w:p>
    <w:tbl>
      <w:tblPr>
        <w:tblStyle w:val="12"/>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textAlignment w:val="center"/>
              <w:rPr>
                <w:rFonts w:ascii="宋体" w:hAnsi="宋体" w:cs="宋体"/>
                <w:b/>
                <w:sz w:val="32"/>
                <w:szCs w:val="32"/>
              </w:rPr>
            </w:pPr>
            <w:bookmarkStart w:id="89" w:name="_Toc15396618"/>
            <w:r>
              <w:rPr>
                <w:rFonts w:hint="eastAsia" w:ascii="宋体" w:hAnsi="宋体" w:cs="宋体"/>
                <w:b/>
                <w:sz w:val="32"/>
                <w:szCs w:val="32"/>
              </w:rPr>
              <w:t>2021年100万元以上（含）特定目标类部门预算项目绩效目标自评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lang w:bidi="ar"/>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项目预算</w:t>
            </w:r>
          </w:p>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lang w:bidi="ar"/>
              </w:rPr>
            </w:pPr>
            <w:r>
              <w:rPr>
                <w:rFonts w:hint="eastAsia" w:ascii="宋体" w:hAnsi="宋体" w:cs="宋体"/>
                <w:kern w:val="0"/>
                <w:sz w:val="24"/>
                <w:lang w:bidi="ar"/>
              </w:rPr>
              <w:t>其中：</w:t>
            </w:r>
          </w:p>
          <w:p>
            <w:pPr>
              <w:widowControl/>
              <w:spacing w:line="320" w:lineRule="exact"/>
              <w:jc w:val="left"/>
              <w:textAlignment w:val="center"/>
              <w:rPr>
                <w:rFonts w:ascii="宋体" w:hAnsi="宋体" w:cs="宋体"/>
                <w:sz w:val="24"/>
              </w:rPr>
            </w:pPr>
            <w:r>
              <w:rPr>
                <w:rFonts w:hint="eastAsia" w:ascii="宋体" w:hAnsi="宋体" w:cs="宋体"/>
                <w:kern w:val="0"/>
                <w:sz w:val="24"/>
                <w:lang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lang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lang w:bidi="ar"/>
              </w:rPr>
            </w:pPr>
            <w:r>
              <w:rPr>
                <w:rFonts w:hint="eastAsia" w:ascii="宋体" w:hAnsi="宋体" w:cs="宋体"/>
                <w:kern w:val="0"/>
                <w:sz w:val="24"/>
                <w:lang w:bidi="ar"/>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lang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lang w:bidi="ar"/>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p>
        </w:tc>
      </w:tr>
      <w:tr>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p>
        </w:tc>
      </w:tr>
    </w:tbl>
    <w:p>
      <w:pPr>
        <w:spacing w:line="600" w:lineRule="exact"/>
        <w:jc w:val="center"/>
        <w:outlineLvl w:val="0"/>
        <w:rPr>
          <w:rFonts w:ascii="黑体" w:hAnsi="黑体" w:eastAsia="黑体"/>
          <w:sz w:val="44"/>
          <w:szCs w:val="44"/>
        </w:rPr>
      </w:pPr>
    </w:p>
    <w:p>
      <w:pPr>
        <w:widowControl/>
        <w:adjustRightInd w:val="0"/>
        <w:snapToGrid w:val="0"/>
        <w:spacing w:line="580" w:lineRule="exact"/>
        <w:contextualSpacing/>
        <w:jc w:val="left"/>
      </w:pPr>
      <w:r>
        <w:rPr>
          <w:rFonts w:hint="eastAsia" w:ascii="仿宋_GB2312" w:hAnsi="宋体" w:eastAsia="仿宋_GB2312" w:cs="宋体"/>
          <w:color w:val="000000"/>
          <w:kern w:val="0"/>
          <w:sz w:val="32"/>
          <w:szCs w:val="32"/>
          <w:shd w:val="clear" w:color="auto" w:fill="FFFFFF"/>
        </w:rPr>
        <w:t>（注：本单位无100万元及以上特定目标类预算项目，此表无数据。）</w:t>
      </w:r>
    </w:p>
    <w:p>
      <w:pPr>
        <w:spacing w:line="600" w:lineRule="exact"/>
        <w:jc w:val="center"/>
        <w:outlineLvl w:val="0"/>
        <w:rPr>
          <w:rFonts w:ascii="黑体" w:hAnsi="黑体" w:eastAsia="黑体"/>
          <w:sz w:val="44"/>
          <w:szCs w:val="44"/>
        </w:rPr>
      </w:pPr>
    </w:p>
    <w:p>
      <w:pPr>
        <w:pStyle w:val="2"/>
        <w:spacing w:before="93"/>
      </w:pPr>
    </w:p>
    <w:p>
      <w:pPr>
        <w:spacing w:line="600" w:lineRule="exact"/>
        <w:jc w:val="center"/>
        <w:outlineLvl w:val="0"/>
        <w:rPr>
          <w:rFonts w:ascii="黑体" w:hAnsi="黑体" w:eastAsia="黑体"/>
          <w:sz w:val="44"/>
          <w:szCs w:val="44"/>
        </w:rPr>
      </w:pPr>
    </w:p>
    <w:p>
      <w:pPr>
        <w:spacing w:line="600" w:lineRule="exact"/>
        <w:jc w:val="center"/>
        <w:outlineLvl w:val="0"/>
        <w:rPr>
          <w:rFonts w:ascii="仿宋" w:hAnsi="仿宋" w:eastAsia="仿宋"/>
        </w:rPr>
      </w:pPr>
      <w:bookmarkStart w:id="90" w:name="_Toc16020"/>
      <w:r>
        <w:rPr>
          <w:rFonts w:hint="eastAsia" w:ascii="黑体" w:hAnsi="黑体" w:eastAsia="黑体"/>
          <w:sz w:val="44"/>
          <w:szCs w:val="44"/>
        </w:rPr>
        <w:t>第</w:t>
      </w:r>
      <w:r>
        <w:rPr>
          <w:rStyle w:val="24"/>
          <w:rFonts w:hint="eastAsia" w:ascii="黑体" w:hAnsi="黑体" w:eastAsia="黑体"/>
          <w:b w:val="0"/>
        </w:rPr>
        <w:t>五部分 附表</w:t>
      </w:r>
      <w:bookmarkEnd w:id="85"/>
      <w:bookmarkEnd w:id="89"/>
      <w:bookmarkEnd w:id="90"/>
      <w:bookmarkStart w:id="91" w:name="_Toc15396619"/>
    </w:p>
    <w:p>
      <w:pPr>
        <w:pStyle w:val="4"/>
        <w:rPr>
          <w:rFonts w:ascii="仿宋" w:hAnsi="仿宋" w:eastAsia="仿宋"/>
        </w:rPr>
      </w:pPr>
      <w:bookmarkStart w:id="92" w:name="_Toc19047"/>
      <w:r>
        <w:rPr>
          <w:rFonts w:hint="eastAsia" w:ascii="仿宋" w:hAnsi="仿宋" w:eastAsia="仿宋"/>
          <w:b w:val="0"/>
        </w:rPr>
        <w:t>一、收</w:t>
      </w:r>
      <w:r>
        <w:rPr>
          <w:rStyle w:val="25"/>
          <w:rFonts w:hint="eastAsia" w:ascii="仿宋" w:hAnsi="仿宋" w:eastAsia="仿宋"/>
          <w:b w:val="0"/>
          <w:bCs w:val="0"/>
        </w:rPr>
        <w:t>入支出决算总表</w:t>
      </w:r>
      <w:bookmarkEnd w:id="91"/>
      <w:bookmarkEnd w:id="92"/>
    </w:p>
    <w:p>
      <w:pPr>
        <w:pStyle w:val="4"/>
        <w:rPr>
          <w:rFonts w:ascii="仿宋" w:hAnsi="仿宋" w:eastAsia="仿宋"/>
        </w:rPr>
      </w:pPr>
      <w:bookmarkStart w:id="93" w:name="_Toc7592"/>
      <w:bookmarkStart w:id="94" w:name="_Toc15396620"/>
      <w:r>
        <w:rPr>
          <w:rFonts w:hint="eastAsia" w:ascii="仿宋" w:hAnsi="仿宋" w:eastAsia="仿宋"/>
          <w:b w:val="0"/>
        </w:rPr>
        <w:t>二、收</w:t>
      </w:r>
      <w:r>
        <w:rPr>
          <w:rStyle w:val="25"/>
          <w:rFonts w:hint="eastAsia" w:ascii="仿宋" w:hAnsi="仿宋" w:eastAsia="仿宋"/>
          <w:b w:val="0"/>
          <w:bCs w:val="0"/>
        </w:rPr>
        <w:t>入决算表</w:t>
      </w:r>
      <w:bookmarkEnd w:id="93"/>
      <w:bookmarkEnd w:id="94"/>
    </w:p>
    <w:p>
      <w:pPr>
        <w:pStyle w:val="4"/>
        <w:rPr>
          <w:rFonts w:ascii="仿宋" w:hAnsi="仿宋" w:eastAsia="仿宋"/>
        </w:rPr>
      </w:pPr>
      <w:bookmarkStart w:id="95" w:name="_Toc26858"/>
      <w:bookmarkStart w:id="96"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95"/>
      <w:bookmarkEnd w:id="96"/>
    </w:p>
    <w:p>
      <w:pPr>
        <w:pStyle w:val="4"/>
        <w:rPr>
          <w:rFonts w:ascii="仿宋" w:hAnsi="仿宋" w:eastAsia="仿宋"/>
          <w:b w:val="0"/>
        </w:rPr>
      </w:pPr>
      <w:bookmarkStart w:id="97" w:name="_Toc15396622"/>
      <w:bookmarkStart w:id="98" w:name="_Toc31873"/>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97"/>
      <w:bookmarkEnd w:id="98"/>
    </w:p>
    <w:p>
      <w:pPr>
        <w:pStyle w:val="4"/>
        <w:rPr>
          <w:rStyle w:val="25"/>
          <w:rFonts w:ascii="仿宋" w:hAnsi="仿宋" w:eastAsia="仿宋"/>
          <w:b w:val="0"/>
          <w:bCs w:val="0"/>
        </w:rPr>
      </w:pPr>
      <w:bookmarkStart w:id="99" w:name="_Toc15396623"/>
      <w:bookmarkStart w:id="100" w:name="_Toc21589"/>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99"/>
      <w:bookmarkEnd w:id="100"/>
      <w:bookmarkStart w:id="101" w:name="_Toc15396624"/>
    </w:p>
    <w:p>
      <w:pPr>
        <w:pStyle w:val="4"/>
        <w:rPr>
          <w:rFonts w:ascii="仿宋" w:hAnsi="仿宋" w:eastAsia="仿宋"/>
        </w:rPr>
      </w:pPr>
      <w:bookmarkStart w:id="102" w:name="_Toc31997"/>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101"/>
      <w:bookmarkEnd w:id="102"/>
    </w:p>
    <w:p>
      <w:pPr>
        <w:pStyle w:val="4"/>
        <w:rPr>
          <w:rFonts w:ascii="仿宋" w:hAnsi="仿宋" w:eastAsia="仿宋"/>
        </w:rPr>
      </w:pPr>
      <w:bookmarkStart w:id="103" w:name="_Toc15396625"/>
      <w:bookmarkStart w:id="104" w:name="_Toc31434"/>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103"/>
      <w:bookmarkEnd w:id="104"/>
    </w:p>
    <w:p>
      <w:pPr>
        <w:pStyle w:val="4"/>
        <w:rPr>
          <w:rFonts w:ascii="仿宋" w:hAnsi="仿宋" w:eastAsia="仿宋"/>
        </w:rPr>
      </w:pPr>
      <w:bookmarkStart w:id="105" w:name="_Toc16778"/>
      <w:bookmarkStart w:id="106"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105"/>
      <w:bookmarkEnd w:id="106"/>
    </w:p>
    <w:p>
      <w:pPr>
        <w:pStyle w:val="4"/>
        <w:rPr>
          <w:rFonts w:ascii="仿宋" w:hAnsi="仿宋" w:eastAsia="仿宋"/>
        </w:rPr>
      </w:pPr>
      <w:bookmarkStart w:id="107" w:name="_Toc15396627"/>
      <w:bookmarkStart w:id="108" w:name="_Toc30340"/>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107"/>
      <w:bookmarkEnd w:id="108"/>
    </w:p>
    <w:p>
      <w:pPr>
        <w:pStyle w:val="4"/>
        <w:rPr>
          <w:rFonts w:ascii="仿宋" w:hAnsi="仿宋" w:eastAsia="仿宋"/>
        </w:rPr>
      </w:pPr>
      <w:bookmarkStart w:id="109" w:name="_Toc7891"/>
      <w:bookmarkStart w:id="110" w:name="_Toc15396628"/>
      <w:r>
        <w:rPr>
          <w:rStyle w:val="25"/>
          <w:rFonts w:hint="eastAsia" w:ascii="仿宋" w:hAnsi="仿宋" w:eastAsia="仿宋"/>
          <w:b w:val="0"/>
          <w:bCs w:val="0"/>
        </w:rPr>
        <w:t>十、</w:t>
      </w:r>
      <w:r>
        <w:rPr>
          <w:rFonts w:hint="eastAsia" w:ascii="仿宋" w:hAnsi="仿宋" w:eastAsia="仿宋"/>
          <w:b w:val="0"/>
        </w:rPr>
        <w:t>一</w:t>
      </w:r>
      <w:r>
        <w:rPr>
          <w:rStyle w:val="25"/>
          <w:rFonts w:hint="eastAsia" w:ascii="仿宋" w:hAnsi="仿宋" w:eastAsia="仿宋"/>
          <w:b w:val="0"/>
          <w:bCs w:val="0"/>
        </w:rPr>
        <w:t>般公共预算财政拨款“三公”经费支出决算表</w:t>
      </w:r>
      <w:bookmarkEnd w:id="109"/>
      <w:bookmarkEnd w:id="110"/>
    </w:p>
    <w:p>
      <w:pPr>
        <w:pStyle w:val="4"/>
        <w:rPr>
          <w:rFonts w:ascii="仿宋" w:hAnsi="仿宋" w:eastAsia="仿宋"/>
        </w:rPr>
      </w:pPr>
      <w:bookmarkStart w:id="111" w:name="_Toc15396629"/>
      <w:bookmarkStart w:id="112" w:name="_Toc26466"/>
      <w:r>
        <w:rPr>
          <w:rStyle w:val="25"/>
          <w:rFonts w:hint="eastAsia" w:ascii="仿宋" w:hAnsi="仿宋" w:eastAsia="仿宋"/>
          <w:b w:val="0"/>
          <w:bCs w:val="0"/>
        </w:rPr>
        <w:t>十一、</w:t>
      </w:r>
      <w:r>
        <w:rPr>
          <w:rFonts w:hint="eastAsia" w:ascii="仿宋" w:hAnsi="仿宋" w:eastAsia="仿宋"/>
          <w:b w:val="0"/>
        </w:rPr>
        <w:t>政</w:t>
      </w:r>
      <w:r>
        <w:rPr>
          <w:rStyle w:val="25"/>
          <w:rFonts w:hint="eastAsia" w:ascii="仿宋" w:hAnsi="仿宋" w:eastAsia="仿宋"/>
          <w:b w:val="0"/>
          <w:bCs w:val="0"/>
        </w:rPr>
        <w:t>府性基金预算财政拨款收入支出决算表</w:t>
      </w:r>
      <w:bookmarkEnd w:id="111"/>
      <w:bookmarkEnd w:id="112"/>
    </w:p>
    <w:p>
      <w:pPr>
        <w:pStyle w:val="4"/>
        <w:rPr>
          <w:rFonts w:ascii="仿宋" w:hAnsi="仿宋" w:eastAsia="仿宋"/>
        </w:rPr>
      </w:pPr>
      <w:bookmarkStart w:id="113" w:name="_Toc17330"/>
      <w:bookmarkStart w:id="114" w:name="_Toc15396630"/>
      <w:r>
        <w:rPr>
          <w:rStyle w:val="25"/>
          <w:rFonts w:hint="eastAsia" w:ascii="仿宋" w:hAnsi="仿宋" w:eastAsia="仿宋"/>
          <w:b w:val="0"/>
          <w:bCs w:val="0"/>
        </w:rPr>
        <w:t>十二、</w:t>
      </w:r>
      <w:r>
        <w:rPr>
          <w:rFonts w:hint="eastAsia" w:ascii="仿宋" w:hAnsi="仿宋" w:eastAsia="仿宋"/>
          <w:b w:val="0"/>
        </w:rPr>
        <w:t>政</w:t>
      </w:r>
      <w:r>
        <w:rPr>
          <w:rStyle w:val="25"/>
          <w:rFonts w:hint="eastAsia" w:ascii="仿宋" w:hAnsi="仿宋" w:eastAsia="仿宋"/>
          <w:b w:val="0"/>
          <w:bCs w:val="0"/>
        </w:rPr>
        <w:t>府性基金预算财政拨款“三公”经费支出决算表</w:t>
      </w:r>
      <w:bookmarkEnd w:id="113"/>
      <w:bookmarkEnd w:id="114"/>
    </w:p>
    <w:p>
      <w:pPr>
        <w:pStyle w:val="4"/>
        <w:rPr>
          <w:rStyle w:val="25"/>
          <w:rFonts w:ascii="仿宋" w:hAnsi="仿宋" w:eastAsia="仿宋"/>
          <w:b w:val="0"/>
          <w:bCs w:val="0"/>
        </w:rPr>
      </w:pPr>
      <w:bookmarkStart w:id="115" w:name="_Toc15396631"/>
      <w:bookmarkStart w:id="116" w:name="_Toc23931"/>
      <w:r>
        <w:rPr>
          <w:rStyle w:val="25"/>
          <w:rFonts w:hint="eastAsia" w:ascii="仿宋" w:hAnsi="仿宋" w:eastAsia="仿宋"/>
          <w:b w:val="0"/>
          <w:bCs w:val="0"/>
        </w:rPr>
        <w:t>十三、</w:t>
      </w:r>
      <w:r>
        <w:rPr>
          <w:rFonts w:hint="eastAsia" w:ascii="仿宋" w:hAnsi="仿宋" w:eastAsia="仿宋"/>
          <w:b w:val="0"/>
        </w:rPr>
        <w:t>国</w:t>
      </w:r>
      <w:r>
        <w:rPr>
          <w:rStyle w:val="25"/>
          <w:rFonts w:hint="eastAsia" w:ascii="仿宋" w:hAnsi="仿宋" w:eastAsia="仿宋"/>
          <w:b w:val="0"/>
          <w:bCs w:val="0"/>
        </w:rPr>
        <w:t>有资本经营预算财政拨款收入支出决算表</w:t>
      </w:r>
      <w:bookmarkEnd w:id="115"/>
      <w:bookmarkEnd w:id="116"/>
    </w:p>
    <w:p>
      <w:pPr>
        <w:rPr>
          <w:rFonts w:eastAsia="仿宋"/>
        </w:rPr>
      </w:pPr>
      <w:bookmarkStart w:id="117" w:name="_Toc20960"/>
      <w:r>
        <w:rPr>
          <w:rStyle w:val="25"/>
          <w:rFonts w:hint="eastAsia" w:ascii="仿宋" w:hAnsi="仿宋" w:eastAsia="仿宋"/>
          <w:b w:val="0"/>
          <w:bCs w:val="0"/>
        </w:rPr>
        <w:t>十四、国有资本经营预算财政拨款支出决算表</w:t>
      </w:r>
      <w:bookmarkEnd w:id="117"/>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NanumGothic">
    <w:panose1 w:val="020D0604000000000000"/>
    <w:charset w:val="81"/>
    <w:family w:val="auto"/>
    <w:pitch w:val="default"/>
    <w:sig w:usb0="900002A7" w:usb1="29D7FCFB" w:usb2="00000010" w:usb3="00000000" w:csb0="00080001"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6138822"/>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OWViM2EyMmVmNzYwZDNjNjNhMTBiOWNkZjMyO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5062"/>
    <w:rsid w:val="00471401"/>
    <w:rsid w:val="00473F31"/>
    <w:rsid w:val="0048263A"/>
    <w:rsid w:val="004867D6"/>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36B50"/>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244D9"/>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9D7150"/>
    <w:rsid w:val="09965EC0"/>
    <w:rsid w:val="0A2032A3"/>
    <w:rsid w:val="0B8A37D8"/>
    <w:rsid w:val="10C055FF"/>
    <w:rsid w:val="118107EC"/>
    <w:rsid w:val="11DD6519"/>
    <w:rsid w:val="16BB723D"/>
    <w:rsid w:val="18015F3F"/>
    <w:rsid w:val="1BE8440E"/>
    <w:rsid w:val="1D155CEE"/>
    <w:rsid w:val="1D6056B1"/>
    <w:rsid w:val="20F57F95"/>
    <w:rsid w:val="240371BF"/>
    <w:rsid w:val="25C741E6"/>
    <w:rsid w:val="27842671"/>
    <w:rsid w:val="29FD04D3"/>
    <w:rsid w:val="2ABE7A3E"/>
    <w:rsid w:val="2EFA178C"/>
    <w:rsid w:val="30B46D73"/>
    <w:rsid w:val="319F7F4E"/>
    <w:rsid w:val="39AE70AB"/>
    <w:rsid w:val="3C0C0783"/>
    <w:rsid w:val="3F9F3A96"/>
    <w:rsid w:val="42E201DD"/>
    <w:rsid w:val="433148A0"/>
    <w:rsid w:val="46553DC6"/>
    <w:rsid w:val="493C27E9"/>
    <w:rsid w:val="496F39ED"/>
    <w:rsid w:val="49FF41D3"/>
    <w:rsid w:val="4A3D5628"/>
    <w:rsid w:val="4BD72A88"/>
    <w:rsid w:val="4BE068DB"/>
    <w:rsid w:val="4BF6002B"/>
    <w:rsid w:val="4E263A40"/>
    <w:rsid w:val="4E6E657C"/>
    <w:rsid w:val="4ECE2238"/>
    <w:rsid w:val="4FFD78A3"/>
    <w:rsid w:val="50A02DD8"/>
    <w:rsid w:val="51DB4B86"/>
    <w:rsid w:val="55333C3E"/>
    <w:rsid w:val="606D23AA"/>
    <w:rsid w:val="64CA39A1"/>
    <w:rsid w:val="6C4A05C8"/>
    <w:rsid w:val="70E71115"/>
    <w:rsid w:val="72734D90"/>
    <w:rsid w:val="79E7B28D"/>
    <w:rsid w:val="7AC121D0"/>
    <w:rsid w:val="7BDD68BA"/>
    <w:rsid w:val="7F9F20EE"/>
    <w:rsid w:val="7FBC52FD"/>
    <w:rsid w:val="9E3A10E2"/>
    <w:rsid w:val="F2E1F9D4"/>
    <w:rsid w:val="F7880819"/>
    <w:rsid w:val="FE757A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5.bin"/></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2020年</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c:f>
              <c:strCache>
                <c:ptCount val="1"/>
                <c:pt idx="0">
                  <c:v>总计</c:v>
                </c:pt>
              </c:strCache>
            </c:strRef>
          </c:cat>
          <c:val>
            <c:numRef>
              <c:f>Sheet1!$B$2</c:f>
              <c:numCache>
                <c:formatCode>General</c:formatCode>
                <c:ptCount val="1"/>
                <c:pt idx="0">
                  <c:v>230.27</c:v>
                </c:pt>
              </c:numCache>
            </c:numRef>
          </c:val>
        </c:ser>
        <c:ser>
          <c:idx val="1"/>
          <c:order val="1"/>
          <c:tx>
            <c:strRef>
              <c:f>Sheet1!$C$1</c:f>
              <c:strCache>
                <c:ptCount val="1"/>
                <c:pt idx="0">
                  <c:v>2021年</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c:f>
              <c:strCache>
                <c:ptCount val="1"/>
                <c:pt idx="0">
                  <c:v>总计</c:v>
                </c:pt>
              </c:strCache>
            </c:strRef>
          </c:cat>
          <c:val>
            <c:numRef>
              <c:f>Sheet1!$C$2</c:f>
              <c:numCache>
                <c:formatCode>General</c:formatCode>
                <c:ptCount val="1"/>
                <c:pt idx="0">
                  <c:v>246.89</c:v>
                </c:pt>
              </c:numCache>
            </c:numRef>
          </c:val>
        </c:ser>
        <c:dLbls>
          <c:showLegendKey val="false"/>
          <c:showVal val="true"/>
          <c:showCatName val="false"/>
          <c:showSerName val="false"/>
          <c:showPercent val="false"/>
          <c:showBubbleSize val="false"/>
        </c:dLbls>
        <c:gapWidth val="150"/>
        <c:axId val="52723072"/>
        <c:axId val="52728960"/>
      </c:barChart>
      <c:catAx>
        <c:axId val="52723072"/>
        <c:scaling>
          <c:orientation val="minMax"/>
        </c:scaling>
        <c:delete val="false"/>
        <c:axPos val="b"/>
        <c:numFmt formatCode="General" sourceLinked="fals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52728960"/>
        <c:crosses val="autoZero"/>
        <c:auto val="true"/>
        <c:lblAlgn val="ctr"/>
        <c:lblOffset val="100"/>
        <c:noMultiLvlLbl val="false"/>
      </c:catAx>
      <c:valAx>
        <c:axId val="52728960"/>
        <c:scaling>
          <c:orientation val="minMax"/>
          <c:max val="250"/>
          <c:min val="0"/>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52723072"/>
        <c:crosses val="autoZero"/>
        <c:crossBetween val="between"/>
        <c:majorUnit val="50"/>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收入</c:v>
                </c:pt>
              </c:strCache>
            </c:strRef>
          </c:tx>
          <c:explosion val="0"/>
          <c:dPt>
            <c:idx val="0"/>
            <c:bubble3D val="false"/>
          </c:dPt>
          <c:dPt>
            <c:idx val="1"/>
            <c:bubble3D val="false"/>
          </c:dPt>
          <c:dPt>
            <c:idx val="2"/>
            <c:bubble3D val="false"/>
          </c:dPt>
          <c:dPt>
            <c:idx val="3"/>
            <c:bubble3D val="false"/>
          </c:dPt>
          <c:dPt>
            <c:idx val="4"/>
            <c:bubble3D val="false"/>
          </c:dPt>
          <c:dPt>
            <c:idx val="5"/>
            <c:bubble3D val="false"/>
          </c:dPt>
          <c:dPt>
            <c:idx val="6"/>
            <c:bubble3D val="false"/>
          </c:dPt>
          <c:dPt>
            <c:idx val="7"/>
            <c:bubble3D val="false"/>
          </c:dPt>
          <c:dLbls>
            <c:dLbl>
              <c:idx val="0"/>
              <c:layout/>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1"/>
              <c:delete val="true"/>
            </c:dLbl>
            <c:dLbl>
              <c:idx val="2"/>
              <c:delete val="true"/>
            </c:dLbl>
            <c:dLbl>
              <c:idx val="3"/>
              <c:delete val="true"/>
            </c:dLbl>
            <c:dLbl>
              <c:idx val="4"/>
              <c:delete val="true"/>
            </c:dLbl>
            <c:dLbl>
              <c:idx val="5"/>
              <c:delete val="true"/>
            </c:dLbl>
            <c:dLbl>
              <c:idx val="6"/>
              <c:delete val="true"/>
            </c:dLbl>
            <c:dLbl>
              <c:idx val="7"/>
              <c:delete val="true"/>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0%</c:formatCode>
                <c:ptCount val="8"/>
                <c:pt idx="0">
                  <c:v>1</c:v>
                </c:pt>
                <c:pt idx="1" c:formatCode="General">
                  <c:v>0</c:v>
                </c:pt>
                <c:pt idx="2" c:formatCode="General">
                  <c:v>0</c:v>
                </c:pt>
                <c:pt idx="3" c:formatCode="General">
                  <c:v>0</c:v>
                </c:pt>
                <c:pt idx="4" c:formatCode="General">
                  <c:v>0</c:v>
                </c:pt>
                <c:pt idx="5" c:formatCode="General">
                  <c:v>0</c:v>
                </c:pt>
                <c:pt idx="6" c:formatCode="General">
                  <c:v>0</c:v>
                </c:pt>
                <c:pt idx="7" c:formatCode="General">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r"/>
      <c:layout>
        <c:manualLayout>
          <c:xMode val="edge"/>
          <c:yMode val="edge"/>
          <c:x val="0.658439682157477"/>
          <c:y val="0.14922600619195"/>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支出</c:v>
                </c:pt>
              </c:strCache>
            </c:strRef>
          </c:tx>
          <c:explosion val="0"/>
          <c:dPt>
            <c:idx val="0"/>
            <c:bubble3D val="false"/>
          </c:dPt>
          <c:dPt>
            <c:idx val="1"/>
            <c:bubble3D val="false"/>
          </c:dPt>
          <c:dPt>
            <c:idx val="2"/>
            <c:bubble3D val="false"/>
          </c:dPt>
          <c:dPt>
            <c:idx val="3"/>
            <c:bubble3D val="false"/>
          </c:dPt>
          <c:dPt>
            <c:idx val="4"/>
            <c:bubble3D val="false"/>
          </c:dPt>
          <c:dLbls>
            <c:dLbl>
              <c:idx val="0"/>
              <c:layout/>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1"/>
              <c:layout/>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2"/>
              <c:delete val="true"/>
            </c:dLbl>
            <c:dLbl>
              <c:idx val="3"/>
              <c:delete val="true"/>
            </c:dLbl>
            <c:dLbl>
              <c:idx val="4"/>
              <c:delete val="true"/>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0.00%</c:formatCode>
                <c:ptCount val="5"/>
                <c:pt idx="0">
                  <c:v>0.893</c:v>
                </c:pt>
                <c:pt idx="1">
                  <c:v>0.107</c:v>
                </c:pt>
                <c:pt idx="2" c:formatCode="General">
                  <c:v>0</c:v>
                </c:pt>
                <c:pt idx="3" c:formatCode="General">
                  <c:v>0</c:v>
                </c:pt>
                <c:pt idx="4" c:formatCode="General">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2020年</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c:f>
              <c:strCache>
                <c:ptCount val="1"/>
                <c:pt idx="0">
                  <c:v>总计</c:v>
                </c:pt>
              </c:strCache>
            </c:strRef>
          </c:cat>
          <c:val>
            <c:numRef>
              <c:f>Sheet1!$B$2</c:f>
              <c:numCache>
                <c:formatCode>General</c:formatCode>
                <c:ptCount val="1"/>
                <c:pt idx="0">
                  <c:v>230.27</c:v>
                </c:pt>
              </c:numCache>
            </c:numRef>
          </c:val>
        </c:ser>
        <c:ser>
          <c:idx val="1"/>
          <c:order val="1"/>
          <c:tx>
            <c:strRef>
              <c:f>Sheet1!$C$1</c:f>
              <c:strCache>
                <c:ptCount val="1"/>
                <c:pt idx="0">
                  <c:v>2021年</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c:f>
              <c:strCache>
                <c:ptCount val="1"/>
                <c:pt idx="0">
                  <c:v>总计</c:v>
                </c:pt>
              </c:strCache>
            </c:strRef>
          </c:cat>
          <c:val>
            <c:numRef>
              <c:f>Sheet1!$C$2</c:f>
              <c:numCache>
                <c:formatCode>General</c:formatCode>
                <c:ptCount val="1"/>
                <c:pt idx="0">
                  <c:v>246.89</c:v>
                </c:pt>
              </c:numCache>
            </c:numRef>
          </c:val>
        </c:ser>
        <c:dLbls>
          <c:showLegendKey val="false"/>
          <c:showVal val="true"/>
          <c:showCatName val="false"/>
          <c:showSerName val="false"/>
          <c:showPercent val="false"/>
          <c:showBubbleSize val="false"/>
        </c:dLbls>
        <c:gapWidth val="150"/>
        <c:axId val="129394176"/>
        <c:axId val="129395712"/>
      </c:barChart>
      <c:catAx>
        <c:axId val="129394176"/>
        <c:scaling>
          <c:orientation val="minMax"/>
        </c:scaling>
        <c:delete val="false"/>
        <c:axPos val="b"/>
        <c:numFmt formatCode="General" sourceLinked="fals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29395712"/>
        <c:crosses val="autoZero"/>
        <c:auto val="true"/>
        <c:lblAlgn val="ctr"/>
        <c:lblOffset val="100"/>
        <c:noMultiLvlLbl val="false"/>
      </c:catAx>
      <c:valAx>
        <c:axId val="129395712"/>
        <c:scaling>
          <c:orientation val="minMax"/>
          <c:max val="250"/>
          <c:min val="0"/>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29394176"/>
        <c:crosses val="autoZero"/>
        <c:crossBetween val="between"/>
        <c:majorUnit val="50"/>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支出额</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Sheet1!$A$2:$A$3</c:f>
              <c:strCache>
                <c:ptCount val="2"/>
                <c:pt idx="0">
                  <c:v>2020年 </c:v>
                </c:pt>
                <c:pt idx="1">
                  <c:v>2021年</c:v>
                </c:pt>
              </c:strCache>
            </c:strRef>
          </c:cat>
          <c:val>
            <c:numRef>
              <c:f>Sheet1!$B$2:$B$3</c:f>
              <c:numCache>
                <c:formatCode>General</c:formatCode>
                <c:ptCount val="2"/>
                <c:pt idx="0">
                  <c:v>230.27</c:v>
                </c:pt>
                <c:pt idx="1">
                  <c:v>246.89</c:v>
                </c:pt>
              </c:numCache>
            </c:numRef>
          </c:val>
        </c:ser>
        <c:dLbls>
          <c:showLegendKey val="false"/>
          <c:showVal val="true"/>
          <c:showCatName val="false"/>
          <c:showSerName val="false"/>
          <c:showPercent val="false"/>
          <c:showBubbleSize val="false"/>
        </c:dLbls>
        <c:gapWidth val="150"/>
        <c:axId val="129514112"/>
        <c:axId val="129528192"/>
      </c:barChart>
      <c:catAx>
        <c:axId val="129514112"/>
        <c:scaling>
          <c:orientation val="minMax"/>
        </c:scaling>
        <c:delete val="false"/>
        <c:axPos val="b"/>
        <c:numFmt formatCode="General" sourceLinked="fals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29528192"/>
        <c:crosses val="autoZero"/>
        <c:auto val="true"/>
        <c:lblAlgn val="ctr"/>
        <c:lblOffset val="100"/>
        <c:noMultiLvlLbl val="false"/>
      </c:catAx>
      <c:valAx>
        <c:axId val="129528192"/>
        <c:scaling>
          <c:orientation val="minMax"/>
          <c:max val="250"/>
          <c:min val="0"/>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29514112"/>
        <c:crosses val="autoZero"/>
        <c:crossBetween val="between"/>
        <c:majorUnit val="50"/>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支出结构</c:v>
                </c:pt>
              </c:strCache>
            </c:strRef>
          </c:tx>
          <c:explosion val="0"/>
          <c:dPt>
            <c:idx val="0"/>
            <c:bubble3D val="false"/>
          </c:dPt>
          <c:dPt>
            <c:idx val="1"/>
            <c:bubble3D val="false"/>
          </c:dPt>
          <c:dPt>
            <c:idx val="2"/>
            <c:bubble3D val="false"/>
          </c:dPt>
          <c:dPt>
            <c:idx val="3"/>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Sheet1!$A$2:$A$5</c:f>
              <c:strCache>
                <c:ptCount val="4"/>
                <c:pt idx="0">
                  <c:v>科学技术类支出</c:v>
                </c:pt>
                <c:pt idx="1">
                  <c:v>社会保障和就业类支出</c:v>
                </c:pt>
                <c:pt idx="2">
                  <c:v>卫生健康支出</c:v>
                </c:pt>
                <c:pt idx="3">
                  <c:v>住房保障支出</c:v>
                </c:pt>
              </c:strCache>
            </c:strRef>
          </c:cat>
          <c:val>
            <c:numRef>
              <c:f>Sheet1!$B$2:$B$5</c:f>
              <c:numCache>
                <c:formatCode>0.00%</c:formatCode>
                <c:ptCount val="4"/>
                <c:pt idx="0">
                  <c:v>0.771</c:v>
                </c:pt>
                <c:pt idx="1">
                  <c:v>0.1048</c:v>
                </c:pt>
                <c:pt idx="2">
                  <c:v>0.0598</c:v>
                </c:pt>
                <c:pt idx="3">
                  <c:v>0.0644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支出结构</c:v>
                </c:pt>
              </c:strCache>
            </c:strRef>
          </c:tx>
          <c:explosion val="0"/>
          <c:dPt>
            <c:idx val="0"/>
            <c:bubble3D val="false"/>
          </c:dPt>
          <c:dPt>
            <c:idx val="1"/>
            <c:bubble3D val="false"/>
          </c:dPt>
          <c:dPt>
            <c:idx val="2"/>
            <c:bubble3D val="false"/>
          </c:dPt>
          <c:dLbls>
            <c:delete val="true"/>
          </c:dLbls>
          <c:cat>
            <c:strRef>
              <c:f>Sheet1!$A$2:$A$4</c:f>
              <c:strCache>
                <c:ptCount val="3"/>
                <c:pt idx="0">
                  <c:v>因公出国（境）费支出</c:v>
                </c:pt>
                <c:pt idx="1">
                  <c:v>公务用车购置及运行维护费支出</c:v>
                </c:pt>
                <c:pt idx="2">
                  <c:v>公务接待费支出</c:v>
                </c:pt>
              </c:strCache>
            </c:strRef>
          </c:cat>
          <c:val>
            <c:numRef>
              <c:f>Sheet1!$B$2:$B$4</c:f>
              <c:numCache>
                <c:formatCode>0%</c:formatCode>
                <c:ptCount val="3"/>
                <c:pt idx="0">
                  <c:v>0</c:v>
                </c:pt>
                <c:pt idx="1">
                  <c:v>0</c:v>
                </c:pt>
                <c:pt idx="2">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6325</Words>
  <Characters>6760</Characters>
  <Lines>58</Lines>
  <Paragraphs>16</Paragraphs>
  <TotalTime>19</TotalTime>
  <ScaleCrop>false</ScaleCrop>
  <LinksUpToDate>false</LinksUpToDate>
  <CharactersWithSpaces>6954</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user</cp:lastModifiedBy>
  <cp:lastPrinted>2022-08-06T18:23:00Z</cp:lastPrinted>
  <dcterms:modified xsi:type="dcterms:W3CDTF">2023-09-13T17:37:09Z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CA0A00D70A1443A09135D0EE63865B76</vt:lpwstr>
  </property>
</Properties>
</file>