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96597"/>
      <w:bookmarkStart w:id="3" w:name="_Toc15377425"/>
      <w:bookmarkStart w:id="4" w:name="_Toc15378441"/>
      <w:bookmarkStart w:id="5" w:name="_Toc7677"/>
      <w:bookmarkStart w:id="6"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598"/>
      <w:bookmarkStart w:id="8" w:name="_Toc14421"/>
      <w:bookmarkStart w:id="9" w:name="_Toc15396476"/>
      <w:bookmarkStart w:id="10" w:name="_Toc15377194"/>
      <w:bookmarkStart w:id="11" w:name="_Toc15378442"/>
      <w:bookmarkStart w:id="12" w:name="_Toc15377426"/>
      <w:r>
        <w:rPr>
          <w:rFonts w:hint="eastAsia" w:ascii="方正小标宋简体" w:hAnsi="方正小标宋简体" w:eastAsia="方正小标宋简体" w:cs="方正小标宋简体"/>
          <w:color w:val="auto"/>
          <w:sz w:val="72"/>
          <w:szCs w:val="72"/>
          <w:highlight w:val="none"/>
        </w:rPr>
        <w:t>四川省</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商务发展事务中心单位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hint="eastAsia" w:ascii="黑体" w:hAnsi="黑体" w:eastAsia="黑体"/>
          <w:color w:val="auto"/>
          <w:sz w:val="48"/>
          <w:szCs w:val="48"/>
          <w:highlight w:val="none"/>
        </w:rPr>
      </w:pPr>
      <w:bookmarkStart w:id="14" w:name="_Toc15396599"/>
      <w:bookmarkStart w:id="15" w:name="_Toc15377196"/>
      <w:r>
        <w:rPr>
          <w:rFonts w:hint="eastAsia" w:ascii="黑体" w:hAnsi="黑体" w:eastAsia="黑体"/>
          <w:color w:val="auto"/>
          <w:sz w:val="48"/>
          <w:szCs w:val="48"/>
          <w:highlight w:val="none"/>
        </w:rPr>
        <w:t>目录</w:t>
      </w:r>
    </w:p>
    <w:p>
      <w:pPr>
        <w:pStyle w:val="11"/>
        <w:rPr>
          <w:rFonts w:hint="eastAsia"/>
          <w:color w:val="auto"/>
          <w:highlight w:val="none"/>
        </w:rPr>
      </w:pPr>
    </w:p>
    <w:p>
      <w:pPr>
        <w:pStyle w:val="11"/>
        <w:rPr>
          <w:rFonts w:hint="eastAsia"/>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p>
      <w:pPr>
        <w:pStyle w:val="11"/>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TOC \o "1-2" \h \u </w:instrText>
      </w:r>
      <w:r>
        <w:rPr>
          <w:rFonts w:hint="eastAsia"/>
          <w:color w:val="auto"/>
          <w:sz w:val="24"/>
          <w:highlight w:val="none"/>
        </w:rPr>
        <w:fldChar w:fldCharType="separate"/>
      </w:r>
      <w:r>
        <w:rPr>
          <w:rFonts w:hint="eastAsia"/>
          <w:color w:val="auto"/>
          <w:sz w:val="24"/>
          <w:highlight w:val="none"/>
        </w:rPr>
        <w:fldChar w:fldCharType="begin"/>
      </w:r>
      <w:r>
        <w:rPr>
          <w:rFonts w:hint="eastAsia"/>
          <w:color w:val="auto"/>
          <w:sz w:val="24"/>
          <w:highlight w:val="none"/>
        </w:rPr>
        <w:instrText xml:space="preserve"> HYPERLINK \l _Toc7677 </w:instrText>
      </w:r>
      <w:r>
        <w:rPr>
          <w:rFonts w:hint="eastAsia"/>
          <w:color w:val="auto"/>
          <w:sz w:val="24"/>
          <w:highlight w:val="none"/>
        </w:rPr>
        <w:fldChar w:fldCharType="separate"/>
      </w:r>
      <w:r>
        <w:rPr>
          <w:rFonts w:hint="eastAsia"/>
          <w:color w:val="auto"/>
          <w:sz w:val="24"/>
          <w:highlight w:val="none"/>
        </w:rPr>
        <w:fldChar w:fldCharType="end"/>
      </w:r>
    </w:p>
    <w:p>
      <w:pPr>
        <w:pStyle w:val="11"/>
        <w:tabs>
          <w:tab w:val="right" w:leader="dot" w:pos="8306"/>
          <w:tab w:val="clear" w:pos="8296"/>
        </w:tabs>
        <w:adjustRightInd/>
        <w:snapToGrid/>
        <w:spacing w:before="0" w:line="240" w:lineRule="auto"/>
        <w:jc w:val="left"/>
        <w:rPr>
          <w:rFonts w:hint="eastAsia" w:ascii="仿宋" w:hAnsi="仿宋" w:eastAsia="宋体"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_Toc17667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第一部分 </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概况</w:t>
      </w:r>
      <w:r>
        <w:rPr>
          <w:rFonts w:hint="eastAsia" w:ascii="仿宋" w:hAnsi="仿宋" w:eastAsia="仿宋" w:cs="仿宋"/>
          <w:color w:val="auto"/>
          <w:sz w:val="24"/>
          <w:szCs w:val="24"/>
          <w:highlight w:val="none"/>
        </w:rPr>
        <w:fldChar w:fldCharType="end"/>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1</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_Toc24202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eastAsia="zh-CN"/>
        </w:rPr>
        <w:t xml:space="preserve">一、 </w:t>
      </w:r>
      <w:r>
        <w:rPr>
          <w:rFonts w:hint="eastAsia" w:ascii="宋体" w:hAnsi="宋体" w:eastAsia="宋体" w:cs="宋体"/>
          <w:color w:val="auto"/>
          <w:sz w:val="24"/>
          <w:highlight w:val="none"/>
        </w:rPr>
        <w:t>职能</w:t>
      </w:r>
      <w:r>
        <w:rPr>
          <w:rFonts w:hint="eastAsia" w:ascii="宋体" w:hAnsi="宋体" w:eastAsia="宋体" w:cs="宋体"/>
          <w:color w:val="auto"/>
          <w:sz w:val="24"/>
          <w:highlight w:val="none"/>
          <w:lang w:eastAsia="zh-CN"/>
        </w:rPr>
        <w:t>简介</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_Toc24202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2"/>
        <w:tabs>
          <w:tab w:val="right" w:leader="dot" w:pos="8306"/>
          <w:tab w:val="clear" w:pos="8296"/>
        </w:tabs>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_Toc6960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val="en-US" w:eastAsia="zh-CN"/>
        </w:rPr>
        <w:t>二、2021年重点</w:t>
      </w:r>
      <w:r>
        <w:rPr>
          <w:rFonts w:hint="eastAsia" w:ascii="宋体" w:hAnsi="宋体" w:eastAsia="宋体" w:cs="宋体"/>
          <w:color w:val="auto"/>
          <w:sz w:val="24"/>
          <w:highlight w:val="none"/>
        </w:rPr>
        <w:t>工作</w:t>
      </w:r>
      <w:r>
        <w:rPr>
          <w:rFonts w:hint="eastAsia" w:ascii="宋体" w:hAnsi="宋体" w:eastAsia="宋体" w:cs="宋体"/>
          <w:color w:val="auto"/>
          <w:sz w:val="24"/>
          <w:highlight w:val="none"/>
          <w:lang w:eastAsia="zh-CN"/>
        </w:rPr>
        <w:t>完成情况</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_Toc6960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2"/>
        <w:tabs>
          <w:tab w:val="right" w:leader="dot" w:pos="8306"/>
          <w:tab w:val="clear" w:pos="8296"/>
        </w:tabs>
        <w:rPr>
          <w:rFonts w:hint="eastAsia" w:eastAsia="宋体"/>
          <w:lang w:val="en-US" w:eastAsia="zh-CN"/>
        </w:rPr>
      </w:pPr>
      <w:r>
        <w:rPr>
          <w:rFonts w:hint="eastAsia" w:ascii="宋体" w:hAnsi="宋体" w:eastAsia="宋体" w:cs="宋体"/>
          <w:color w:val="auto"/>
          <w:sz w:val="24"/>
          <w:highlight w:val="none"/>
          <w:lang w:val="en-US" w:eastAsia="zh-CN"/>
        </w:rPr>
        <w:t>三</w:t>
      </w:r>
      <w:r>
        <w:rPr>
          <w:rFonts w:hint="eastAsia" w:ascii="宋体" w:hAnsi="宋体" w:eastAsia="宋体" w:cs="宋体"/>
          <w:b w:val="0"/>
          <w:sz w:val="24"/>
          <w:lang w:eastAsia="zh-CN"/>
        </w:rPr>
        <w:t>、机构设置情况</w:t>
      </w:r>
      <w:r>
        <w:rPr>
          <w:rFonts w:hint="eastAsia" w:ascii="黑体" w:hAnsi="黑体" w:eastAsia="黑体"/>
          <w:color w:val="auto"/>
          <w:sz w:val="21"/>
          <w:highlight w:val="none"/>
        </w:rPr>
        <w:tab/>
      </w:r>
      <w:r>
        <w:rPr>
          <w:rFonts w:hint="eastAsia" w:ascii="黑体" w:hAnsi="黑体" w:eastAsia="黑体"/>
          <w:color w:val="auto"/>
          <w:sz w:val="21"/>
          <w:highlight w:val="none"/>
          <w:lang w:val="en-US" w:eastAsia="zh-CN"/>
        </w:rPr>
        <w:t>7</w:t>
      </w:r>
    </w:p>
    <w:p>
      <w:pPr>
        <w:pStyle w:val="11"/>
        <w:tabs>
          <w:tab w:val="right" w:leader="dot" w:pos="8306"/>
          <w:tab w:val="clear" w:pos="8296"/>
        </w:tabs>
        <w:adjustRightInd/>
        <w:snapToGrid/>
        <w:spacing w:before="0"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_Toc12731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第二部分 </w:t>
      </w:r>
      <w:r>
        <w:rPr>
          <w:rFonts w:hint="eastAsia" w:ascii="仿宋" w:hAnsi="仿宋" w:eastAsia="仿宋" w:cs="仿宋"/>
          <w:color w:val="auto"/>
          <w:sz w:val="24"/>
          <w:szCs w:val="24"/>
          <w:highlight w:val="none"/>
          <w:lang w:val="en-US" w:eastAsia="zh-CN"/>
        </w:rPr>
        <w:t>2021年度</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决算情况说明</w:t>
      </w:r>
      <w:r>
        <w:rPr>
          <w:rFonts w:hint="eastAsia" w:ascii="仿宋" w:hAnsi="仿宋" w:eastAsia="仿宋" w:cs="仿宋"/>
          <w:color w:val="auto"/>
          <w:sz w:val="24"/>
          <w:szCs w:val="24"/>
          <w:highlight w:val="none"/>
        </w:rPr>
        <w:fldChar w:fldCharType="end"/>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_Toc4120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8</w:t>
      </w:r>
      <w:r>
        <w:rPr>
          <w:rFonts w:hint="eastAsia" w:ascii="宋体" w:hAnsi="宋体" w:eastAsia="宋体" w:cs="宋体"/>
          <w:color w:val="auto"/>
          <w:sz w:val="24"/>
          <w:highlight w:val="none"/>
        </w:rPr>
        <w:fldChar w:fldCharType="end"/>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_Toc4120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一、 收入支出决算总体情况说明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_Toc4120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8</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_Toc14517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二、 收入决算情况说明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_Toc14517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8</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_Toc9953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三、 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_Toc9953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9</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_Toc26416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四、财政拨款收入支出决算总体情况说明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_Toc26416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10</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_Toc6208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五、一般公共预算财政拨款支出决算情况说明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_Toc6208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_Toc9903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六、一般公共预算财政拨款基本支出决算情况说明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_Toc9903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14</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_Toc20233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七、“三公”经费财政拨款支出决算情况说明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_Toc20233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4</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_Toc7742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八、政府性基金预算支出决算情况说明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_Toc7742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_Toc11202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九、 国有资本经营预算支出决算情况说明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_Toc11202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2"/>
        <w:tabs>
          <w:tab w:val="right" w:leader="dot" w:pos="8306"/>
          <w:tab w:val="clear" w:pos="8296"/>
        </w:tabs>
        <w:adjustRightInd/>
        <w:snapToGrid/>
        <w:spacing w:line="240" w:lineRule="auto"/>
        <w:jc w:val="left"/>
        <w:rPr>
          <w:rFonts w:hint="eastAsia"/>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_Toc22011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十、 其他重要事项的情况说明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_Toc22011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pPr>
        <w:pStyle w:val="11"/>
        <w:adjustRightInd w:val="0"/>
        <w:snapToGrid w:val="0"/>
        <w:spacing w:before="0" w:line="440" w:lineRule="exact"/>
        <w:jc w:val="left"/>
        <w:rPr>
          <w:rFonts w:hint="eastAsia" w:eastAsia="仿宋" w:cs="仿宋"/>
          <w:color w:val="auto"/>
          <w:sz w:val="24"/>
          <w:szCs w:val="24"/>
          <w:highlight w:val="none"/>
          <w:lang w:val="en-US" w:eastAsia="zh-CN"/>
        </w:rPr>
      </w:pPr>
      <w:r>
        <w:rPr>
          <w:rFonts w:hint="eastAsia" w:cs="仿宋"/>
          <w:color w:val="auto"/>
          <w:sz w:val="24"/>
          <w:szCs w:val="24"/>
          <w:highlight w:val="none"/>
        </w:rPr>
        <w:fldChar w:fldCharType="begin"/>
      </w:r>
      <w:r>
        <w:rPr>
          <w:rFonts w:hint="eastAsia" w:cs="仿宋"/>
          <w:color w:val="auto"/>
          <w:sz w:val="24"/>
          <w:szCs w:val="24"/>
          <w:highlight w:val="none"/>
        </w:rPr>
        <w:instrText xml:space="preserve"> HYPERLINK \l _Toc21102 </w:instrText>
      </w:r>
      <w:r>
        <w:rPr>
          <w:rFonts w:hint="eastAsia" w:cs="仿宋"/>
          <w:color w:val="auto"/>
          <w:sz w:val="24"/>
          <w:szCs w:val="24"/>
          <w:highlight w:val="none"/>
        </w:rPr>
        <w:fldChar w:fldCharType="separate"/>
      </w:r>
      <w:r>
        <w:rPr>
          <w:rFonts w:hint="eastAsia" w:ascii="仿宋" w:hAnsi="仿宋" w:eastAsia="仿宋" w:cs="仿宋"/>
          <w:color w:val="auto"/>
          <w:sz w:val="24"/>
          <w:szCs w:val="24"/>
          <w:highlight w:val="none"/>
        </w:rPr>
        <w:t>第三部分 名词解释</w:t>
      </w:r>
      <w:r>
        <w:rPr>
          <w:rFonts w:hint="eastAsia" w:cs="仿宋"/>
          <w:color w:val="auto"/>
          <w:sz w:val="24"/>
          <w:szCs w:val="24"/>
          <w:highlight w:val="none"/>
        </w:rPr>
        <w:tab/>
      </w:r>
      <w:r>
        <w:rPr>
          <w:rFonts w:hint="eastAsia" w:cs="仿宋"/>
          <w:color w:val="auto"/>
          <w:sz w:val="24"/>
          <w:szCs w:val="24"/>
          <w:highlight w:val="none"/>
          <w:lang w:val="en-US" w:eastAsia="zh-CN"/>
        </w:rPr>
        <w:t>1</w:t>
      </w:r>
      <w:r>
        <w:rPr>
          <w:rFonts w:hint="eastAsia" w:cs="仿宋"/>
          <w:color w:val="auto"/>
          <w:sz w:val="24"/>
          <w:szCs w:val="24"/>
          <w:highlight w:val="none"/>
        </w:rPr>
        <w:fldChar w:fldCharType="end"/>
      </w:r>
      <w:r>
        <w:rPr>
          <w:rFonts w:hint="eastAsia" w:cs="仿宋"/>
          <w:color w:val="auto"/>
          <w:sz w:val="24"/>
          <w:szCs w:val="24"/>
          <w:highlight w:val="none"/>
          <w:lang w:val="en-US" w:eastAsia="zh-CN"/>
        </w:rPr>
        <w:t>8</w:t>
      </w:r>
    </w:p>
    <w:p>
      <w:pPr>
        <w:pStyle w:val="11"/>
        <w:adjustRightInd w:val="0"/>
        <w:snapToGrid w:val="0"/>
        <w:spacing w:before="0" w:line="440" w:lineRule="exact"/>
        <w:jc w:val="left"/>
        <w:rPr>
          <w:rFonts w:hint="eastAsia" w:eastAsia="仿宋" w:cs="仿宋"/>
          <w:color w:val="auto"/>
          <w:sz w:val="24"/>
          <w:szCs w:val="24"/>
          <w:highlight w:val="none"/>
          <w:lang w:val="en-US" w:eastAsia="zh-CN"/>
        </w:rPr>
      </w:pPr>
      <w:r>
        <w:rPr>
          <w:rFonts w:hint="eastAsia" w:cs="仿宋"/>
          <w:color w:val="auto"/>
          <w:sz w:val="24"/>
          <w:szCs w:val="24"/>
          <w:highlight w:val="none"/>
        </w:rPr>
        <w:fldChar w:fldCharType="begin"/>
      </w:r>
      <w:r>
        <w:rPr>
          <w:rFonts w:hint="eastAsia" w:cs="仿宋"/>
          <w:color w:val="auto"/>
          <w:sz w:val="24"/>
          <w:szCs w:val="24"/>
          <w:highlight w:val="none"/>
        </w:rPr>
        <w:instrText xml:space="preserve"> HYPERLINK \l _Toc20845 </w:instrText>
      </w:r>
      <w:r>
        <w:rPr>
          <w:rFonts w:hint="eastAsia" w:cs="仿宋"/>
          <w:color w:val="auto"/>
          <w:sz w:val="24"/>
          <w:szCs w:val="24"/>
          <w:highlight w:val="none"/>
        </w:rPr>
        <w:fldChar w:fldCharType="separate"/>
      </w:r>
      <w:r>
        <w:rPr>
          <w:rFonts w:hint="eastAsia" w:ascii="仿宋" w:hAnsi="仿宋" w:eastAsia="仿宋" w:cs="仿宋"/>
          <w:color w:val="auto"/>
          <w:sz w:val="24"/>
          <w:szCs w:val="24"/>
          <w:highlight w:val="none"/>
        </w:rPr>
        <w:t>第四部分 附件</w:t>
      </w:r>
      <w:r>
        <w:rPr>
          <w:rFonts w:hint="eastAsia" w:cs="仿宋"/>
          <w:color w:val="auto"/>
          <w:sz w:val="24"/>
          <w:szCs w:val="24"/>
          <w:highlight w:val="none"/>
        </w:rPr>
        <w:tab/>
      </w:r>
      <w:r>
        <w:rPr>
          <w:rFonts w:hint="eastAsia" w:cs="仿宋"/>
          <w:color w:val="auto"/>
          <w:sz w:val="24"/>
          <w:szCs w:val="24"/>
          <w:highlight w:val="none"/>
          <w:lang w:val="en-US" w:eastAsia="zh-CN"/>
        </w:rPr>
        <w:t>2</w:t>
      </w:r>
      <w:r>
        <w:rPr>
          <w:rFonts w:hint="eastAsia" w:cs="仿宋"/>
          <w:color w:val="auto"/>
          <w:sz w:val="24"/>
          <w:szCs w:val="24"/>
          <w:highlight w:val="none"/>
        </w:rPr>
        <w:fldChar w:fldCharType="end"/>
      </w:r>
      <w:r>
        <w:rPr>
          <w:rFonts w:hint="eastAsia" w:cs="仿宋"/>
          <w:color w:val="auto"/>
          <w:sz w:val="24"/>
          <w:szCs w:val="24"/>
          <w:highlight w:val="none"/>
          <w:lang w:val="en-US" w:eastAsia="zh-CN"/>
        </w:rPr>
        <w:t>0</w:t>
      </w:r>
    </w:p>
    <w:p>
      <w:pPr>
        <w:pStyle w:val="11"/>
        <w:adjustRightInd w:val="0"/>
        <w:snapToGrid w:val="0"/>
        <w:spacing w:before="0" w:line="440" w:lineRule="exact"/>
        <w:jc w:val="left"/>
        <w:rPr>
          <w:rFonts w:hint="eastAsia" w:eastAsia="仿宋" w:cs="仿宋"/>
          <w:color w:val="auto"/>
          <w:sz w:val="24"/>
          <w:szCs w:val="24"/>
          <w:highlight w:val="none"/>
          <w:lang w:val="en-US" w:eastAsia="zh-CN"/>
        </w:rPr>
      </w:pPr>
      <w:r>
        <w:rPr>
          <w:rFonts w:hint="eastAsia" w:cs="仿宋"/>
          <w:color w:val="auto"/>
          <w:sz w:val="24"/>
          <w:szCs w:val="24"/>
          <w:highlight w:val="none"/>
        </w:rPr>
        <w:fldChar w:fldCharType="begin"/>
      </w:r>
      <w:r>
        <w:rPr>
          <w:rFonts w:hint="eastAsia" w:cs="仿宋"/>
          <w:color w:val="auto"/>
          <w:sz w:val="24"/>
          <w:szCs w:val="24"/>
          <w:highlight w:val="none"/>
        </w:rPr>
        <w:instrText xml:space="preserve"> HYPERLINK \l _Toc25853 </w:instrText>
      </w:r>
      <w:r>
        <w:rPr>
          <w:rFonts w:hint="eastAsia" w:cs="仿宋"/>
          <w:color w:val="auto"/>
          <w:sz w:val="24"/>
          <w:szCs w:val="24"/>
          <w:highlight w:val="none"/>
        </w:rPr>
        <w:fldChar w:fldCharType="separate"/>
      </w:r>
      <w:r>
        <w:rPr>
          <w:rFonts w:hint="eastAsia" w:ascii="仿宋" w:hAnsi="仿宋" w:eastAsia="仿宋" w:cs="仿宋"/>
          <w:color w:val="auto"/>
          <w:sz w:val="24"/>
          <w:szCs w:val="24"/>
          <w:highlight w:val="none"/>
        </w:rPr>
        <w:t>第五部分 附表</w:t>
      </w:r>
      <w:r>
        <w:rPr>
          <w:rFonts w:hint="eastAsia" w:cs="仿宋"/>
          <w:color w:val="auto"/>
          <w:sz w:val="24"/>
          <w:szCs w:val="24"/>
          <w:highlight w:val="none"/>
        </w:rPr>
        <w:tab/>
      </w:r>
      <w:r>
        <w:rPr>
          <w:rFonts w:hint="eastAsia" w:cs="仿宋"/>
          <w:color w:val="auto"/>
          <w:sz w:val="24"/>
          <w:szCs w:val="24"/>
          <w:highlight w:val="none"/>
          <w:lang w:val="en-US" w:eastAsia="zh-CN"/>
        </w:rPr>
        <w:t>2</w:t>
      </w:r>
      <w:r>
        <w:rPr>
          <w:rFonts w:hint="eastAsia" w:cs="仿宋"/>
          <w:color w:val="auto"/>
          <w:sz w:val="24"/>
          <w:szCs w:val="24"/>
          <w:highlight w:val="none"/>
        </w:rPr>
        <w:fldChar w:fldCharType="end"/>
      </w:r>
      <w:r>
        <w:rPr>
          <w:rFonts w:hint="eastAsia" w:cs="仿宋"/>
          <w:color w:val="auto"/>
          <w:sz w:val="24"/>
          <w:szCs w:val="24"/>
          <w:highlight w:val="none"/>
          <w:lang w:val="en-US" w:eastAsia="zh-CN"/>
        </w:rPr>
        <w:t>2</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_Toc22335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一、收入支出决算总表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2</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_Toc702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二、收入决算表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2</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_Toc13150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三、支出决算表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2</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_Toc6739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四、财政拨款收入支出决算总表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2</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_Toc1129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五、财政拨款支出决算明细表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2</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_Toc3319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六、一般公共预算财政拨款支出决算表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2</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_Toc29643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七、一般公共预算财政拨款支出决算明细表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2</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_Toc32515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八、一般公共预算财政拨款基本支出决算表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2</w:t>
      </w:r>
    </w:p>
    <w:p>
      <w:pPr>
        <w:pStyle w:val="12"/>
        <w:tabs>
          <w:tab w:val="right" w:leader="dot" w:pos="8306"/>
          <w:tab w:val="clear" w:pos="8296"/>
        </w:tabs>
        <w:adjustRightInd/>
        <w:snapToGrid/>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_Toc6831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九、一般公共预算财政拨款项目支出决算表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2</w:t>
      </w:r>
    </w:p>
    <w:p>
      <w:pPr>
        <w:pStyle w:val="12"/>
        <w:tabs>
          <w:tab w:val="right" w:leader="dot" w:pos="8306"/>
          <w:tab w:val="clear" w:pos="8296"/>
        </w:tabs>
        <w:adjustRightInd/>
        <w:snapToGrid/>
        <w:spacing w:line="240" w:lineRule="auto"/>
        <w:ind w:left="0" w:leftChars="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\l _Toc23137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十、一般公共预算财政拨款“三公”经费支出决算表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2</w:t>
      </w:r>
    </w:p>
    <w:p>
      <w:pPr>
        <w:pStyle w:val="12"/>
        <w:tabs>
          <w:tab w:val="right" w:leader="dot" w:pos="8306"/>
          <w:tab w:val="clear" w:pos="8296"/>
        </w:tabs>
        <w:spacing w:line="240" w:lineRule="auto"/>
        <w:jc w:val="left"/>
        <w:rPr>
          <w:rFonts w:hint="eastAsia" w:ascii="宋体" w:hAnsi="宋体" w:eastAsia="宋体" w:cs="宋体"/>
          <w:color w:val="auto"/>
          <w:sz w:val="24"/>
          <w:highlight w:val="none"/>
          <w:lang w:val="en-US" w:eastAsia="zh-CN"/>
        </w:rPr>
      </w:pPr>
      <w:r>
        <w:rPr>
          <w:rStyle w:val="15"/>
          <w:rFonts w:hint="eastAsia" w:ascii="宋体" w:hAnsi="宋体" w:eastAsia="宋体" w:cs="宋体"/>
          <w:b w:val="0"/>
          <w:bCs w:val="0"/>
          <w:color w:val="auto"/>
          <w:sz w:val="24"/>
          <w:highlight w:val="none"/>
        </w:rPr>
        <w:t>十一、</w:t>
      </w:r>
      <w:r>
        <w:rPr>
          <w:rFonts w:hint="eastAsia" w:ascii="宋体" w:hAnsi="宋体" w:eastAsia="宋体" w:cs="宋体"/>
          <w:b w:val="0"/>
          <w:color w:val="auto"/>
          <w:sz w:val="24"/>
          <w:highlight w:val="none"/>
        </w:rPr>
        <w:t>政</w:t>
      </w:r>
      <w:r>
        <w:rPr>
          <w:rStyle w:val="15"/>
          <w:rFonts w:hint="eastAsia" w:ascii="宋体" w:hAnsi="宋体" w:eastAsia="宋体" w:cs="宋体"/>
          <w:b w:val="0"/>
          <w:bCs w:val="0"/>
          <w:color w:val="auto"/>
          <w:sz w:val="24"/>
          <w:highlight w:val="none"/>
        </w:rPr>
        <w:t>府性基金预算财政拨款收入支出决算表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22</w:t>
      </w:r>
    </w:p>
    <w:p>
      <w:pPr>
        <w:pStyle w:val="12"/>
        <w:tabs>
          <w:tab w:val="right" w:leader="dot" w:pos="8306"/>
          <w:tab w:val="clear" w:pos="8296"/>
        </w:tabs>
        <w:spacing w:line="240" w:lineRule="auto"/>
        <w:jc w:val="left"/>
        <w:rPr>
          <w:rFonts w:hint="eastAsia" w:ascii="宋体" w:hAnsi="宋体" w:eastAsia="宋体" w:cs="宋体"/>
          <w:color w:val="auto"/>
          <w:sz w:val="24"/>
          <w:highlight w:val="none"/>
          <w:lang w:val="en-US" w:eastAsia="zh-CN"/>
        </w:rPr>
      </w:pPr>
      <w:r>
        <w:rPr>
          <w:rStyle w:val="15"/>
          <w:rFonts w:hint="eastAsia" w:ascii="宋体" w:hAnsi="宋体" w:eastAsia="宋体" w:cs="宋体"/>
          <w:b w:val="0"/>
          <w:bCs w:val="0"/>
          <w:color w:val="auto"/>
          <w:sz w:val="24"/>
          <w:highlight w:val="none"/>
        </w:rPr>
        <w:t>十二、</w:t>
      </w:r>
      <w:r>
        <w:rPr>
          <w:rFonts w:hint="eastAsia" w:ascii="宋体" w:hAnsi="宋体" w:eastAsia="宋体" w:cs="宋体"/>
          <w:b w:val="0"/>
          <w:color w:val="auto"/>
          <w:sz w:val="24"/>
          <w:highlight w:val="none"/>
        </w:rPr>
        <w:t>政</w:t>
      </w:r>
      <w:r>
        <w:rPr>
          <w:rStyle w:val="15"/>
          <w:rFonts w:hint="eastAsia" w:ascii="宋体" w:hAnsi="宋体" w:eastAsia="宋体" w:cs="宋体"/>
          <w:b w:val="0"/>
          <w:bCs w:val="0"/>
          <w:color w:val="auto"/>
          <w:sz w:val="24"/>
          <w:highlight w:val="none"/>
        </w:rPr>
        <w:t>府性基金预算财政拨款“三公”经费支出决算表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22</w:t>
      </w:r>
    </w:p>
    <w:p>
      <w:pPr>
        <w:pStyle w:val="12"/>
        <w:tabs>
          <w:tab w:val="right" w:leader="dot" w:pos="8306"/>
          <w:tab w:val="clear" w:pos="8296"/>
        </w:tabs>
        <w:spacing w:line="240" w:lineRule="auto"/>
        <w:jc w:val="left"/>
        <w:rPr>
          <w:rFonts w:hint="eastAsia" w:ascii="宋体" w:hAnsi="宋体" w:eastAsia="宋体" w:cs="宋体"/>
          <w:color w:val="auto"/>
          <w:sz w:val="24"/>
          <w:highlight w:val="none"/>
          <w:lang w:val="en-US" w:eastAsia="zh-CN"/>
        </w:rPr>
      </w:pPr>
      <w:r>
        <w:rPr>
          <w:rStyle w:val="15"/>
          <w:rFonts w:hint="eastAsia" w:ascii="宋体" w:hAnsi="宋体" w:eastAsia="宋体" w:cs="宋体"/>
          <w:b w:val="0"/>
          <w:bCs w:val="0"/>
          <w:color w:val="auto"/>
          <w:sz w:val="24"/>
          <w:highlight w:val="none"/>
        </w:rPr>
        <w:t>十三、</w:t>
      </w:r>
      <w:r>
        <w:rPr>
          <w:rFonts w:hint="eastAsia" w:ascii="宋体" w:hAnsi="宋体" w:eastAsia="宋体" w:cs="宋体"/>
          <w:b w:val="0"/>
          <w:color w:val="auto"/>
          <w:sz w:val="24"/>
          <w:highlight w:val="none"/>
        </w:rPr>
        <w:t>国</w:t>
      </w:r>
      <w:r>
        <w:rPr>
          <w:rStyle w:val="15"/>
          <w:rFonts w:hint="eastAsia" w:ascii="宋体" w:hAnsi="宋体" w:eastAsia="宋体" w:cs="宋体"/>
          <w:b w:val="0"/>
          <w:bCs w:val="0"/>
          <w:color w:val="auto"/>
          <w:sz w:val="24"/>
          <w:highlight w:val="none"/>
        </w:rPr>
        <w:t>有资本经营预算</w:t>
      </w:r>
      <w:r>
        <w:rPr>
          <w:rStyle w:val="15"/>
          <w:rFonts w:hint="eastAsia" w:ascii="宋体" w:hAnsi="宋体" w:eastAsia="宋体" w:cs="宋体"/>
          <w:b w:val="0"/>
          <w:bCs w:val="0"/>
          <w:color w:val="auto"/>
          <w:sz w:val="24"/>
          <w:highlight w:val="none"/>
          <w:lang w:eastAsia="zh-CN"/>
        </w:rPr>
        <w:t>财政拨款收入</w:t>
      </w:r>
      <w:r>
        <w:rPr>
          <w:rStyle w:val="15"/>
          <w:rFonts w:hint="eastAsia" w:ascii="宋体" w:hAnsi="宋体" w:eastAsia="宋体" w:cs="宋体"/>
          <w:b w:val="0"/>
          <w:bCs w:val="0"/>
          <w:color w:val="auto"/>
          <w:sz w:val="24"/>
          <w:highlight w:val="none"/>
        </w:rPr>
        <w:t>支出决算表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22</w:t>
      </w:r>
    </w:p>
    <w:p>
      <w:pPr>
        <w:pStyle w:val="12"/>
        <w:tabs>
          <w:tab w:val="right" w:leader="dot" w:pos="8306"/>
          <w:tab w:val="clear" w:pos="8296"/>
        </w:tabs>
        <w:spacing w:line="240" w:lineRule="auto"/>
        <w:jc w:val="left"/>
        <w:rPr>
          <w:rFonts w:hint="eastAsia" w:ascii="宋体" w:hAnsi="宋体" w:eastAsia="宋体" w:cs="宋体"/>
          <w:color w:val="auto"/>
          <w:sz w:val="24"/>
          <w:highlight w:val="none"/>
          <w:lang w:eastAsia="zh-CN"/>
        </w:rPr>
      </w:pPr>
      <w:r>
        <w:rPr>
          <w:rStyle w:val="15"/>
          <w:rFonts w:hint="eastAsia" w:ascii="宋体" w:hAnsi="宋体" w:eastAsia="宋体" w:cs="宋体"/>
          <w:b w:val="0"/>
          <w:bCs w:val="0"/>
          <w:color w:val="auto"/>
          <w:sz w:val="24"/>
          <w:highlight w:val="none"/>
          <w:lang w:eastAsia="zh-CN"/>
        </w:rPr>
        <w:t>十四、国有资本经营预算财政拨款支出决算表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22</w:t>
      </w:r>
    </w:p>
    <w:p>
      <w:pPr>
        <w:pStyle w:val="12"/>
        <w:tabs>
          <w:tab w:val="right" w:leader="dot" w:pos="8306"/>
          <w:tab w:val="clear" w:pos="8296"/>
        </w:tabs>
        <w:adjustRightInd/>
        <w:snapToGrid/>
        <w:spacing w:line="240" w:lineRule="auto"/>
        <w:ind w:left="0" w:leftChars="0" w:firstLine="480" w:firstLineChars="200"/>
        <w:jc w:val="left"/>
        <w:rPr>
          <w:rFonts w:hint="eastAsia"/>
          <w:color w:val="auto"/>
          <w:sz w:val="24"/>
          <w:highlight w:val="none"/>
          <w:lang w:val="en-US" w:eastAsia="zh-CN"/>
        </w:rPr>
      </w:pPr>
    </w:p>
    <w:p>
      <w:pPr>
        <w:pStyle w:val="12"/>
        <w:tabs>
          <w:tab w:val="right" w:leader="dot" w:pos="8306"/>
          <w:tab w:val="clear" w:pos="8296"/>
        </w:tabs>
        <w:adjustRightInd/>
        <w:snapToGrid/>
        <w:spacing w:line="240" w:lineRule="auto"/>
        <w:ind w:left="0" w:leftChars="0" w:firstLine="480" w:firstLineChars="200"/>
        <w:jc w:val="left"/>
        <w:rPr>
          <w:rFonts w:hint="eastAsia"/>
          <w:color w:val="auto"/>
          <w:sz w:val="24"/>
          <w:highlight w:val="none"/>
          <w:lang w:val="en-US" w:eastAsia="zh-CN"/>
        </w:rPr>
      </w:pPr>
    </w:p>
    <w:p>
      <w:pPr>
        <w:pStyle w:val="12"/>
        <w:adjustRightInd w:val="0"/>
        <w:snapToGrid w:val="0"/>
        <w:spacing w:line="240" w:lineRule="auto"/>
        <w:ind w:left="0" w:leftChars="0"/>
        <w:jc w:val="left"/>
        <w:rPr>
          <w:rFonts w:hint="eastAsia"/>
          <w:color w:val="auto"/>
          <w:sz w:val="24"/>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pPr>
        <w:pStyle w:val="2"/>
        <w:numPr>
          <w:ilvl w:val="-1"/>
          <w:numId w:val="0"/>
        </w:numPr>
        <w:bidi w:val="0"/>
        <w:ind w:right="440"/>
        <w:jc w:val="center"/>
        <w:rPr>
          <w:rFonts w:hint="eastAsia" w:ascii="黑体" w:hAnsi="黑体" w:eastAsia="黑体"/>
          <w:b w:val="0"/>
          <w:color w:val="auto"/>
          <w:highlight w:val="none"/>
        </w:rPr>
      </w:pPr>
      <w:r>
        <w:rPr>
          <w:rFonts w:hint="eastAsia"/>
          <w:color w:val="auto"/>
          <w:sz w:val="24"/>
          <w:highlight w:val="none"/>
        </w:rPr>
        <w:fldChar w:fldCharType="end"/>
      </w:r>
      <w:bookmarkStart w:id="16" w:name="_Toc17667"/>
      <w:r>
        <w:rPr>
          <w:rFonts w:hint="eastAsia" w:ascii="黑体" w:hAnsi="黑体" w:eastAsia="黑体"/>
          <w:b w:val="0"/>
          <w:color w:val="auto"/>
          <w:highlight w:val="none"/>
          <w:lang w:eastAsia="zh-CN"/>
        </w:rPr>
        <w:t>第一部分</w:t>
      </w:r>
      <w:r>
        <w:rPr>
          <w:rFonts w:hint="eastAsia" w:ascii="黑体" w:hAnsi="黑体" w:eastAsia="黑体"/>
          <w:b w:val="0"/>
          <w:color w:val="auto"/>
          <w:highlight w:val="none"/>
          <w:lang w:val="en-US" w:eastAsia="zh-CN"/>
        </w:rPr>
        <w:t xml:space="preserve"> </w:t>
      </w:r>
      <w:r>
        <w:rPr>
          <w:rFonts w:hint="eastAsia" w:ascii="黑体" w:hAnsi="黑体" w:eastAsia="黑体"/>
          <w:b w:val="0"/>
          <w:color w:val="auto"/>
          <w:highlight w:val="none"/>
          <w:lang w:eastAsia="zh-CN"/>
        </w:rPr>
        <w:t>单位</w:t>
      </w:r>
      <w:r>
        <w:rPr>
          <w:rFonts w:hint="eastAsia" w:ascii="黑体" w:hAnsi="黑体" w:eastAsia="黑体"/>
          <w:b w:val="0"/>
          <w:color w:val="auto"/>
          <w:highlight w:val="none"/>
        </w:rPr>
        <w:t>概况</w:t>
      </w:r>
      <w:bookmarkEnd w:id="14"/>
      <w:bookmarkEnd w:id="15"/>
      <w:bookmarkEnd w:id="16"/>
    </w:p>
    <w:p>
      <w:pPr>
        <w:numPr>
          <w:ilvl w:val="-1"/>
          <w:numId w:val="0"/>
        </w:numPr>
      </w:pPr>
    </w:p>
    <w:p>
      <w:pPr>
        <w:pStyle w:val="3"/>
        <w:numPr>
          <w:ilvl w:val="-1"/>
          <w:numId w:val="0"/>
        </w:numPr>
        <w:bidi w:val="0"/>
        <w:ind w:firstLine="642" w:firstLineChars="200"/>
        <w:rPr>
          <w:rFonts w:hint="eastAsia" w:ascii="黑体" w:hAnsi="黑体" w:eastAsia="黑体" w:cs="黑体"/>
          <w:lang w:eastAsia="zh-CN"/>
        </w:rPr>
      </w:pPr>
      <w:bookmarkStart w:id="17" w:name="_Toc24202"/>
      <w:bookmarkStart w:id="18" w:name="_Toc15396600"/>
      <w:bookmarkStart w:id="19" w:name="_Toc15377197"/>
      <w:r>
        <w:rPr>
          <w:rFonts w:hint="eastAsia" w:ascii="黑体" w:hAnsi="黑体" w:eastAsia="黑体" w:cs="黑体"/>
          <w:lang w:eastAsia="zh-CN"/>
        </w:rPr>
        <w:t>一、</w:t>
      </w:r>
      <w:r>
        <w:rPr>
          <w:rFonts w:hint="eastAsia" w:ascii="黑体" w:hAnsi="黑体" w:eastAsia="黑体" w:cs="黑体"/>
        </w:rPr>
        <w:t>职能</w:t>
      </w:r>
      <w:r>
        <w:rPr>
          <w:rFonts w:hint="eastAsia" w:ascii="黑体" w:hAnsi="黑体" w:eastAsia="黑体" w:cs="黑体"/>
          <w:lang w:eastAsia="zh-CN"/>
        </w:rPr>
        <w:t>简介</w:t>
      </w:r>
      <w:bookmarkEnd w:id="17"/>
    </w:p>
    <w:p>
      <w:pPr>
        <w:pStyle w:val="32"/>
        <w:tabs>
          <w:tab w:val="left" w:pos="703"/>
        </w:tabs>
        <w:spacing w:beforeLines="0" w:afterLines="0" w:line="560" w:lineRule="exact"/>
        <w:rPr>
          <w:rFonts w:hint="eastAsia" w:ascii="仿宋" w:hAnsi="仿宋" w:eastAsia="仿宋" w:cs="仿宋"/>
          <w:sz w:val="32"/>
          <w:szCs w:val="32"/>
        </w:rPr>
      </w:pPr>
      <w:r>
        <w:rPr>
          <w:rFonts w:hint="eastAsia" w:ascii="仿宋" w:hAnsi="仿宋" w:eastAsia="仿宋" w:cs="仿宋"/>
          <w:sz w:val="32"/>
          <w:szCs w:val="32"/>
        </w:rPr>
        <w:t>四川省商务发展事务中心是根据《中共四川省委机构编制委员会办公室关于省商务厅所属事业单位整</w:t>
      </w:r>
      <w:r>
        <w:rPr>
          <w:rFonts w:hint="eastAsia" w:ascii="仿宋" w:hAnsi="仿宋" w:eastAsia="仿宋" w:cs="仿宋"/>
          <w:sz w:val="32"/>
          <w:szCs w:val="32"/>
          <w:lang w:eastAsia="zh-CN"/>
        </w:rPr>
        <w:t>合规范等事项的通知》</w:t>
      </w:r>
      <w:r>
        <w:rPr>
          <w:rFonts w:hint="eastAsia" w:ascii="仿宋" w:hAnsi="仿宋" w:eastAsia="仿宋" w:cs="仿宋"/>
          <w:sz w:val="32"/>
          <w:szCs w:val="32"/>
        </w:rPr>
        <w:t xml:space="preserve">（川编办发[2015]75号）要求，整合省国际经济合作事务中心，省对外贸易服务中心，省外商投资企业服务中心，组建成立的公益二类事业单位。主要承担促进服务业、商贸流通、开放性经济发展等事务性工作。                                                                                                                                                                                                                                                                                                                                                                                                                                                                                                                                                                 </w:t>
      </w:r>
    </w:p>
    <w:p>
      <w:pPr>
        <w:numPr>
          <w:ilvl w:val="0"/>
          <w:numId w:val="0"/>
        </w:numPr>
        <w:rPr>
          <w:rFonts w:hint="eastAsia"/>
        </w:rPr>
      </w:pPr>
    </w:p>
    <w:p>
      <w:pPr>
        <w:pStyle w:val="3"/>
        <w:numPr>
          <w:ilvl w:val="0"/>
          <w:numId w:val="0"/>
        </w:numPr>
        <w:ind w:firstLine="642" w:firstLineChars="200"/>
        <w:rPr>
          <w:rFonts w:hint="eastAsia" w:ascii="黑体" w:hAnsi="黑体" w:eastAsia="黑体"/>
          <w:b/>
          <w:bCs w:val="0"/>
          <w:color w:val="auto"/>
          <w:highlight w:val="none"/>
        </w:rPr>
      </w:pPr>
      <w:bookmarkStart w:id="20" w:name="_Toc6960"/>
      <w:r>
        <w:rPr>
          <w:rFonts w:hint="eastAsia" w:ascii="黑体" w:hAnsi="黑体" w:eastAsia="黑体"/>
          <w:b/>
          <w:bCs w:val="0"/>
          <w:color w:val="auto"/>
          <w:highlight w:val="none"/>
          <w:lang w:val="en-US" w:eastAsia="zh-CN"/>
        </w:rPr>
        <w:t>二、2021年重点</w:t>
      </w:r>
      <w:r>
        <w:rPr>
          <w:rFonts w:hint="eastAsia" w:ascii="黑体" w:hAnsi="黑体" w:eastAsia="黑体"/>
          <w:b/>
          <w:bCs w:val="0"/>
          <w:color w:val="auto"/>
          <w:highlight w:val="none"/>
        </w:rPr>
        <w:t>工作</w:t>
      </w:r>
      <w:bookmarkEnd w:id="18"/>
      <w:bookmarkEnd w:id="19"/>
      <w:r>
        <w:rPr>
          <w:rFonts w:hint="eastAsia" w:ascii="黑体" w:hAnsi="黑体" w:eastAsia="黑体"/>
          <w:b/>
          <w:bCs w:val="0"/>
          <w:color w:val="auto"/>
          <w:highlight w:val="none"/>
          <w:lang w:eastAsia="zh-CN"/>
        </w:rPr>
        <w:t>完成情况</w:t>
      </w:r>
      <w:bookmarkEnd w:id="20"/>
    </w:p>
    <w:p>
      <w:pPr>
        <w:pStyle w:val="32"/>
        <w:keepNext w:val="0"/>
        <w:keepLines w:val="0"/>
        <w:pageBreakBefore w:val="0"/>
        <w:widowControl w:val="0"/>
        <w:tabs>
          <w:tab w:val="left" w:pos="703"/>
        </w:tabs>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（一）从严治党，营造清政廉洁风尚</w:t>
      </w:r>
    </w:p>
    <w:p>
      <w:pPr>
        <w:pStyle w:val="32"/>
        <w:keepNext w:val="0"/>
        <w:keepLines w:val="0"/>
        <w:pageBreakBefore w:val="0"/>
        <w:widowControl w:val="0"/>
        <w:tabs>
          <w:tab w:val="left" w:pos="703"/>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中心支部持续加强党的政治建设，全面从严治党，推动党组织的向心力、组织力、战斗力、凝聚力不断提升。</w:t>
      </w:r>
    </w:p>
    <w:p>
      <w:pPr>
        <w:pStyle w:val="32"/>
        <w:keepNext w:val="0"/>
        <w:keepLines w:val="0"/>
        <w:pageBreakBefore w:val="0"/>
        <w:widowControl w:val="0"/>
        <w:tabs>
          <w:tab w:val="left" w:pos="703"/>
        </w:tabs>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一是政治建设坚强有力。</w:t>
      </w:r>
      <w:r>
        <w:rPr>
          <w:rFonts w:hint="eastAsia" w:ascii="仿宋" w:hAnsi="仿宋" w:eastAsia="仿宋" w:cs="仿宋"/>
          <w:sz w:val="32"/>
          <w:szCs w:val="32"/>
        </w:rPr>
        <w:t>结合实际制定了《中心2021年党建工作要点》《党史学习教育的实施方案》，把中央、省委和厅党组关于思想政治建设的部署要求一贯到底、落地落实。</w:t>
      </w:r>
      <w:r>
        <w:rPr>
          <w:rFonts w:hint="eastAsia" w:ascii="仿宋" w:hAnsi="仿宋" w:eastAsia="仿宋" w:cs="仿宋"/>
          <w:b/>
          <w:bCs/>
          <w:sz w:val="32"/>
          <w:szCs w:val="32"/>
        </w:rPr>
        <w:t>二是思想建设效果明显。</w:t>
      </w:r>
      <w:r>
        <w:rPr>
          <w:rFonts w:hint="eastAsia" w:ascii="仿宋" w:hAnsi="仿宋" w:eastAsia="仿宋" w:cs="仿宋"/>
          <w:sz w:val="32"/>
          <w:szCs w:val="32"/>
        </w:rPr>
        <w:t>支部今年共计组织十余次集中学习、认真严肃地开展“党史学习教育”、扎实开展支部书记讲党课、青年党员讲微党课等活动，不断夯实思想根基。</w:t>
      </w:r>
      <w:r>
        <w:rPr>
          <w:rFonts w:hint="eastAsia" w:ascii="仿宋" w:hAnsi="仿宋" w:eastAsia="仿宋" w:cs="仿宋"/>
          <w:b/>
          <w:bCs/>
          <w:sz w:val="32"/>
          <w:szCs w:val="32"/>
        </w:rPr>
        <w:t>三是组织建设更加规范。</w:t>
      </w:r>
      <w:r>
        <w:rPr>
          <w:rFonts w:hint="eastAsia" w:ascii="仿宋" w:hAnsi="仿宋" w:eastAsia="仿宋" w:cs="仿宋"/>
          <w:sz w:val="32"/>
          <w:szCs w:val="32"/>
        </w:rPr>
        <w:t>支部认真落实“三会一课”制度、完成支委的换届选举；根据党章党纪要求，严谨负责地对原外商中心党委失联的465名暂停党籍党员做出了处理。</w:t>
      </w:r>
      <w:r>
        <w:rPr>
          <w:rFonts w:hint="eastAsia" w:ascii="仿宋" w:hAnsi="仿宋" w:eastAsia="仿宋" w:cs="仿宋"/>
          <w:b/>
          <w:bCs/>
          <w:sz w:val="32"/>
          <w:szCs w:val="32"/>
        </w:rPr>
        <w:t>四是党风廉政建设有效推进。</w:t>
      </w:r>
      <w:r>
        <w:rPr>
          <w:rFonts w:hint="eastAsia" w:ascii="仿宋" w:hAnsi="仿宋" w:eastAsia="仿宋" w:cs="仿宋"/>
          <w:sz w:val="32"/>
          <w:szCs w:val="32"/>
        </w:rPr>
        <w:t>制定《岗位职责廉政风险防控权责清单》，全面、准确查找廉政风险点，针对不同岗位存在的潜在风险制定防范措施，着力建成一套不能腐的科学防控机制。</w:t>
      </w:r>
    </w:p>
    <w:p>
      <w:pPr>
        <w:pStyle w:val="32"/>
        <w:keepNext w:val="0"/>
        <w:keepLines w:val="0"/>
        <w:pageBreakBefore w:val="0"/>
        <w:widowControl w:val="0"/>
        <w:tabs>
          <w:tab w:val="left" w:pos="703"/>
        </w:tabs>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（二）夯实基础，内部管理跃升台阶</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坚持以制度管人管事、用制度规范工作流程，强化财务监督与后勤服务并重意识，持续深入标准化建设。</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eastAsia" w:ascii="仿宋" w:hAnsi="仿宋" w:eastAsia="仿宋"/>
          <w:sz w:val="32"/>
          <w:szCs w:val="32"/>
        </w:rPr>
      </w:pPr>
      <w:r>
        <w:rPr>
          <w:rFonts w:hint="eastAsia" w:ascii="仿宋" w:hAnsi="仿宋" w:eastAsia="仿宋"/>
          <w:b/>
          <w:bCs/>
          <w:sz w:val="32"/>
          <w:szCs w:val="32"/>
        </w:rPr>
        <w:t>一是加强规范管理。</w:t>
      </w:r>
      <w:r>
        <w:rPr>
          <w:rFonts w:hint="eastAsia" w:ascii="仿宋" w:hAnsi="仿宋" w:eastAsia="仿宋"/>
          <w:sz w:val="32"/>
          <w:szCs w:val="32"/>
        </w:rPr>
        <w:t>梳理汇编《中心工作手册》，使中心各项工作有章可循；规范档案管理，加强重点资料的管理与备份工作，大力推进档案信息化、电子化；强化政务新媒体规范管理，及时更换网站维护机构，确保信息宣传安全规范。发挥法律顾问作用，审查法律文件，降低法律风险。</w:t>
      </w:r>
      <w:r>
        <w:rPr>
          <w:rFonts w:hint="eastAsia" w:ascii="仿宋" w:hAnsi="仿宋" w:eastAsia="仿宋"/>
          <w:b/>
          <w:bCs/>
          <w:sz w:val="32"/>
          <w:szCs w:val="32"/>
        </w:rPr>
        <w:t>二是优化行政保障。</w:t>
      </w:r>
      <w:r>
        <w:rPr>
          <w:rFonts w:hint="eastAsia" w:ascii="仿宋" w:hAnsi="仿宋" w:eastAsia="仿宋"/>
          <w:sz w:val="32"/>
          <w:szCs w:val="32"/>
        </w:rPr>
        <w:t>加强安全管理，建立安全检查台账，对中心所属区域定期检查，排查隐患；改善工作午餐，提升职工幸福感；完善工会活动室设施、设立书吧，丰富了职工文化生活。</w:t>
      </w:r>
      <w:r>
        <w:rPr>
          <w:rFonts w:hint="eastAsia" w:ascii="仿宋" w:hAnsi="仿宋" w:eastAsia="仿宋"/>
          <w:b/>
          <w:bCs/>
          <w:sz w:val="32"/>
          <w:szCs w:val="32"/>
        </w:rPr>
        <w:t>三是强化财务监管。</w:t>
      </w:r>
      <w:r>
        <w:rPr>
          <w:rFonts w:hint="eastAsia" w:ascii="仿宋" w:hAnsi="仿宋" w:eastAsia="仿宋"/>
          <w:b w:val="0"/>
          <w:bCs/>
          <w:sz w:val="32"/>
          <w:szCs w:val="32"/>
        </w:rPr>
        <w:t>严</w:t>
      </w:r>
      <w:r>
        <w:rPr>
          <w:rFonts w:hint="eastAsia" w:ascii="仿宋" w:hAnsi="仿宋" w:eastAsia="仿宋"/>
          <w:bCs/>
          <w:sz w:val="32"/>
          <w:szCs w:val="32"/>
        </w:rPr>
        <w:t>格遵守财经纪律，</w:t>
      </w:r>
      <w:r>
        <w:rPr>
          <w:rFonts w:hint="eastAsia" w:ascii="仿宋" w:hAnsi="仿宋" w:eastAsia="仿宋"/>
          <w:b w:val="0"/>
          <w:bCs/>
          <w:sz w:val="32"/>
          <w:szCs w:val="32"/>
        </w:rPr>
        <w:t>严</w:t>
      </w:r>
      <w:r>
        <w:rPr>
          <w:rFonts w:hint="eastAsia" w:ascii="仿宋" w:hAnsi="仿宋" w:eastAsia="仿宋"/>
          <w:bCs/>
          <w:sz w:val="32"/>
          <w:szCs w:val="32"/>
        </w:rPr>
        <w:t>格执行财务管理制度，建立严格的内审内控机制，确保资金使用安全。</w:t>
      </w:r>
      <w:r>
        <w:rPr>
          <w:rFonts w:hint="eastAsia" w:ascii="仿宋" w:hAnsi="仿宋" w:eastAsia="仿宋"/>
          <w:sz w:val="32"/>
          <w:szCs w:val="32"/>
        </w:rPr>
        <w:t>扎紧扎实源头管理，成立风险评估和预算审查领导小组，切实降本增效，确保项目执行效益。加强税务筹划，把握税收政策指导方向，结合中心实际争取减税降费优惠政策，进一步降低单位税收成本。</w:t>
      </w:r>
    </w:p>
    <w:p>
      <w:pPr>
        <w:pStyle w:val="32"/>
        <w:keepNext w:val="0"/>
        <w:keepLines w:val="0"/>
        <w:pageBreakBefore w:val="0"/>
        <w:widowControl w:val="0"/>
        <w:tabs>
          <w:tab w:val="left" w:pos="703"/>
        </w:tabs>
        <w:kinsoku/>
        <w:wordWrap/>
        <w:overflowPunct/>
        <w:topLinePunct w:val="0"/>
        <w:autoSpaceDE/>
        <w:autoSpaceDN/>
        <w:bidi w:val="0"/>
        <w:spacing w:beforeLines="0" w:afterLines="0" w:line="560" w:lineRule="exact"/>
        <w:ind w:firstLine="642"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（三）持续强化，业务发展获得提升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在疫情防控常态化新形势下，中心坚决筑牢安全底线，统筹推进疫情防控和业务发展，各项业务工作稳步推进。</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 w:hAnsi="仿宋" w:eastAsia="仿宋"/>
          <w:sz w:val="32"/>
          <w:szCs w:val="32"/>
        </w:rPr>
      </w:pPr>
      <w:r>
        <w:rPr>
          <w:rFonts w:hint="eastAsia" w:ascii="仿宋" w:hAnsi="仿宋" w:eastAsia="仿宋"/>
          <w:b/>
          <w:bCs/>
          <w:sz w:val="32"/>
          <w:szCs w:val="32"/>
        </w:rPr>
        <w:t>1.积极承接经贸活动，推动高水平对外开放。</w:t>
      </w:r>
      <w:r>
        <w:rPr>
          <w:rFonts w:hint="eastAsia" w:ascii="仿宋" w:hAnsi="仿宋" w:eastAsia="仿宋"/>
          <w:sz w:val="32"/>
          <w:szCs w:val="32"/>
        </w:rPr>
        <w:t>今年中心承办了首届消博会、“进博会走进四川”、“台企拓内销·两岸一起来”推介对接、第二届中非经贸博览会、第四届进博会、</w:t>
      </w:r>
      <w:r>
        <w:rPr>
          <w:rFonts w:hint="eastAsia" w:ascii="仿宋" w:hAnsi="仿宋" w:eastAsia="仿宋" w:cs="仿宋"/>
          <w:sz w:val="32"/>
          <w:szCs w:val="32"/>
          <w:lang w:bidi="ar-SA"/>
        </w:rPr>
        <w:t>东盟博览会、亚欧博览会</w:t>
      </w:r>
      <w:r>
        <w:rPr>
          <w:rFonts w:hint="eastAsia" w:ascii="仿宋" w:hAnsi="仿宋" w:eastAsia="仿宋"/>
          <w:sz w:val="32"/>
          <w:szCs w:val="32"/>
        </w:rPr>
        <w:t>等十余项大型国际经贸活动的参展服务工作，向世界全面展示了四川发展新成果。其中，2021服贸会的四川馆从展台设计到企业组织推陈出新，得到领导和企业的高度认可，获得“2021中国国际服务贸易交易会线下优秀展区”。第129届、第130届广交会，线上线下融合举办，多措并举助力企业参展采购，积极推动外贸更好更快发展。“进博会走进四川”投资推介对接会是商务部服务地方招商引资推介的首场活动，近百家参展商及驻华机构齐聚巴蜀，为四川吸引了世界目光，四川对外交流“朋友圈”越来越大。</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 w:hAnsi="仿宋" w:eastAsia="仿宋"/>
          <w:sz w:val="32"/>
          <w:szCs w:val="32"/>
        </w:rPr>
      </w:pPr>
      <w:r>
        <w:rPr>
          <w:rFonts w:hint="eastAsia" w:ascii="仿宋" w:hAnsi="仿宋" w:eastAsia="仿宋"/>
          <w:b/>
          <w:bCs/>
          <w:sz w:val="32"/>
          <w:szCs w:val="32"/>
        </w:rPr>
        <w:t>2.强化商贸服务，助力国内大循环。</w:t>
      </w:r>
      <w:r>
        <w:rPr>
          <w:rFonts w:hint="eastAsia" w:ascii="仿宋" w:hAnsi="仿宋" w:eastAsia="仿宋"/>
          <w:sz w:val="32"/>
          <w:szCs w:val="32"/>
        </w:rPr>
        <w:t>以川货全国行、四川春季购车节、川货新春大拜年、2021年川货电商节-数字生活消费节启动仪式和论坛</w:t>
      </w:r>
      <w:r>
        <w:rPr>
          <w:rFonts w:hint="eastAsia" w:ascii="仿宋" w:hAnsi="仿宋" w:eastAsia="仿宋"/>
          <w:kern w:val="0"/>
          <w:sz w:val="32"/>
          <w:szCs w:val="32"/>
        </w:rPr>
        <w:t>等</w:t>
      </w:r>
      <w:r>
        <w:rPr>
          <w:rFonts w:hint="eastAsia" w:ascii="仿宋" w:hAnsi="仿宋" w:eastAsia="仿宋"/>
          <w:sz w:val="32"/>
          <w:szCs w:val="32"/>
        </w:rPr>
        <w:t>活动为依托，支持</w:t>
      </w:r>
      <w:r>
        <w:rPr>
          <w:rFonts w:hint="eastAsia" w:ascii="仿宋" w:hAnsi="仿宋" w:eastAsia="仿宋"/>
          <w:kern w:val="0"/>
          <w:sz w:val="32"/>
          <w:szCs w:val="32"/>
        </w:rPr>
        <w:t>做强川货品牌，激活国内消费市场潜力。今年，通过</w:t>
      </w:r>
      <w:r>
        <w:rPr>
          <w:rFonts w:hint="eastAsia" w:ascii="仿宋" w:hAnsi="仿宋" w:eastAsia="仿宋"/>
          <w:sz w:val="32"/>
          <w:szCs w:val="32"/>
        </w:rPr>
        <w:t>为期3个月展示展销的川货新春大拜年活动，成功吸引川内百余家企业入驻北京、广州两地网点，实现了川货销售额和采购意向金额的新突破。举办2021四川春季购车节活动，开展汽车促销巡展，搭建零距离交易衔接平台，全面激发汽车消费市场活力，有效促进我省消费扩容提质，为“构建国内大循环为主体、国内国际双循环相互促进的新发展格局”作出新的贡献。</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 w:hAnsi="仿宋" w:eastAsia="仿宋"/>
          <w:kern w:val="0"/>
          <w:sz w:val="32"/>
          <w:szCs w:val="32"/>
        </w:rPr>
      </w:pPr>
      <w:r>
        <w:rPr>
          <w:rFonts w:hint="eastAsia" w:ascii="仿宋" w:hAnsi="仿宋" w:eastAsia="仿宋"/>
          <w:b/>
          <w:bCs/>
          <w:kern w:val="0"/>
          <w:sz w:val="32"/>
          <w:szCs w:val="32"/>
        </w:rPr>
        <w:t>3.加强商务培训，突出社会效益。</w:t>
      </w:r>
      <w:r>
        <w:rPr>
          <w:rFonts w:hint="eastAsia" w:ascii="仿宋" w:hAnsi="仿宋" w:eastAsia="仿宋"/>
          <w:b w:val="0"/>
          <w:bCs w:val="0"/>
          <w:kern w:val="0"/>
          <w:sz w:val="32"/>
          <w:szCs w:val="32"/>
        </w:rPr>
        <w:t>中心</w:t>
      </w:r>
      <w:r>
        <w:rPr>
          <w:rFonts w:hint="eastAsia" w:ascii="仿宋" w:hAnsi="仿宋" w:eastAsia="仿宋"/>
          <w:kern w:val="0"/>
          <w:sz w:val="32"/>
          <w:szCs w:val="32"/>
        </w:rPr>
        <w:t>积极开展商务政策及专业培训，努力培养一批商务后备人才队伍。</w:t>
      </w:r>
      <w:r>
        <w:rPr>
          <w:rFonts w:hint="eastAsia" w:ascii="仿宋" w:hAnsi="仿宋" w:eastAsia="仿宋"/>
          <w:b/>
          <w:bCs/>
          <w:kern w:val="0"/>
          <w:sz w:val="32"/>
          <w:szCs w:val="32"/>
        </w:rPr>
        <w:t>一是加强行业规范。</w:t>
      </w:r>
      <w:r>
        <w:rPr>
          <w:rFonts w:hint="eastAsia" w:ascii="仿宋" w:hAnsi="仿宋" w:eastAsia="仿宋"/>
          <w:kern w:val="0"/>
          <w:sz w:val="32"/>
          <w:szCs w:val="32"/>
        </w:rPr>
        <w:t>通过</w:t>
      </w:r>
      <w:r>
        <w:rPr>
          <w:rFonts w:hint="eastAsia" w:ascii="仿宋" w:hAnsi="仿宋" w:eastAsia="仿宋"/>
          <w:sz w:val="32"/>
          <w:szCs w:val="32"/>
        </w:rPr>
        <w:t>举办《会展运营管理师》（高级）岗位能力培训、跨境电子商务创新发展系列专题培训、</w:t>
      </w:r>
      <w:r>
        <w:rPr>
          <w:rFonts w:hint="eastAsia" w:ascii="仿宋" w:hAnsi="仿宋" w:eastAsia="仿宋"/>
          <w:kern w:val="0"/>
          <w:sz w:val="32"/>
          <w:szCs w:val="32"/>
        </w:rPr>
        <w:t>3期外贸企业新政新规解读培训等，帮助企业了解最新行业政策，提升从业人员专业能力，得到参会人员的高度评价，增强了中心的社会影响力。</w:t>
      </w:r>
      <w:r>
        <w:rPr>
          <w:rFonts w:hint="eastAsia" w:ascii="仿宋" w:hAnsi="仿宋" w:eastAsia="仿宋"/>
          <w:b/>
          <w:bCs/>
          <w:kern w:val="0"/>
          <w:sz w:val="32"/>
          <w:szCs w:val="32"/>
        </w:rPr>
        <w:t>二是深化对外劳务合作。</w:t>
      </w:r>
      <w:r>
        <w:rPr>
          <w:rFonts w:hint="eastAsia" w:ascii="仿宋" w:hAnsi="仿宋" w:eastAsia="仿宋"/>
          <w:kern w:val="0"/>
          <w:sz w:val="32"/>
          <w:szCs w:val="32"/>
        </w:rPr>
        <w:t>举办6期出国就业培训班和首期外派劳务从业人员素质技能培训班，提升外派劳务从业人员素质和技能，推动我省对外劳务输出向高层次发展。</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仿宋" w:hAnsi="仿宋" w:eastAsia="仿宋"/>
          <w:b/>
          <w:bCs/>
          <w:kern w:val="0"/>
          <w:sz w:val="32"/>
          <w:szCs w:val="32"/>
        </w:rPr>
      </w:pPr>
      <w:r>
        <w:rPr>
          <w:rFonts w:hint="eastAsia" w:ascii="仿宋" w:hAnsi="仿宋" w:eastAsia="仿宋"/>
          <w:b/>
          <w:bCs/>
          <w:kern w:val="0"/>
          <w:sz w:val="32"/>
          <w:szCs w:val="32"/>
        </w:rPr>
        <w:t>4.积极开拓市场，探索多元化发展。</w:t>
      </w:r>
      <w:r>
        <w:rPr>
          <w:rFonts w:hint="eastAsia" w:ascii="仿宋" w:hAnsi="仿宋" w:eastAsia="仿宋"/>
          <w:kern w:val="0"/>
          <w:sz w:val="32"/>
          <w:szCs w:val="32"/>
        </w:rPr>
        <w:t>今年，中心坚持探索创新，大力</w:t>
      </w:r>
      <w:r>
        <w:rPr>
          <w:rFonts w:hint="eastAsia" w:ascii="仿宋" w:hAnsi="仿宋" w:eastAsia="仿宋" w:cs="仿宋"/>
          <w:kern w:val="0"/>
          <w:sz w:val="32"/>
          <w:szCs w:val="32"/>
        </w:rPr>
        <w:t>开拓市场化项目，在展会、培训等方面均取得显著成效。</w:t>
      </w:r>
      <w:r>
        <w:rPr>
          <w:rFonts w:hint="eastAsia" w:ascii="仿宋" w:hAnsi="仿宋" w:eastAsia="仿宋"/>
          <w:b/>
          <w:bCs/>
          <w:kern w:val="0"/>
          <w:sz w:val="32"/>
          <w:szCs w:val="32"/>
        </w:rPr>
        <w:t>一是展会类项目，</w:t>
      </w:r>
      <w:r>
        <w:rPr>
          <w:rFonts w:hint="eastAsia" w:ascii="仿宋" w:hAnsi="仿宋" w:eastAsia="仿宋"/>
          <w:kern w:val="0"/>
          <w:sz w:val="32"/>
          <w:szCs w:val="32"/>
        </w:rPr>
        <w:t>通过自主对接，成功组织了28家川内优质企业参加第十八届中国（青岛）国际食品博览会、承接“中华川菜·世界品味”配套活动、第十八届西博会成都国际商贸城分会场</w:t>
      </w:r>
      <w:r>
        <w:rPr>
          <w:rFonts w:hint="eastAsia" w:ascii="仿宋" w:hAnsi="仿宋" w:eastAsia="仿宋"/>
          <w:sz w:val="32"/>
          <w:szCs w:val="32"/>
        </w:rPr>
        <w:t>‘四川出口商品汇’开馆仪式暨2021四川优势特色产业精品贸易大会”</w:t>
      </w:r>
      <w:r>
        <w:rPr>
          <w:rFonts w:hint="eastAsia" w:ascii="仿宋" w:hAnsi="仿宋" w:eastAsia="仿宋"/>
          <w:kern w:val="0"/>
          <w:sz w:val="32"/>
          <w:szCs w:val="32"/>
        </w:rPr>
        <w:t>活动，期间积累了企业资源，为多元化发展提供坚实基础。</w:t>
      </w:r>
      <w:r>
        <w:rPr>
          <w:rFonts w:hint="eastAsia" w:ascii="仿宋" w:hAnsi="仿宋" w:eastAsia="仿宋"/>
          <w:b/>
          <w:bCs/>
          <w:kern w:val="0"/>
          <w:sz w:val="32"/>
          <w:szCs w:val="32"/>
        </w:rPr>
        <w:t>二是培训类项目，</w:t>
      </w:r>
      <w:r>
        <w:rPr>
          <w:rFonts w:hint="eastAsia" w:ascii="仿宋" w:hAnsi="仿宋" w:eastAsia="仿宋"/>
          <w:kern w:val="0"/>
          <w:sz w:val="32"/>
          <w:szCs w:val="32"/>
        </w:rPr>
        <w:t>通过对接省政府口岸与物流办，承办3期国际贸易“单一窗口”业务培训，助力泸州市、宜宾市外贸产业发展，是培训市场化的一次有益探索。</w:t>
      </w:r>
      <w:r>
        <w:rPr>
          <w:rFonts w:hint="eastAsia" w:ascii="仿宋" w:hAnsi="仿宋" w:eastAsia="仿宋"/>
          <w:b/>
          <w:bCs/>
          <w:kern w:val="0"/>
          <w:sz w:val="32"/>
          <w:szCs w:val="32"/>
        </w:rPr>
        <w:t>三是市州拓展项目，</w:t>
      </w:r>
      <w:r>
        <w:rPr>
          <w:rFonts w:hint="eastAsia" w:ascii="仿宋" w:hAnsi="仿宋" w:eastAsia="仿宋"/>
          <w:kern w:val="0"/>
          <w:sz w:val="32"/>
          <w:szCs w:val="32"/>
        </w:rPr>
        <w:t>为青神县撰写“2019年国家级电子商务进农村综合示范县”中期报告，获得了中期绩效评价第一名的好成绩；承办“2021外贸加工贸易梯度转移巴中经开区专场推介会”，成功拓展市州市场。</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ascii="仿宋" w:hAnsi="仿宋" w:eastAsia="仿宋"/>
          <w:kern w:val="0"/>
          <w:sz w:val="32"/>
          <w:szCs w:val="32"/>
        </w:rPr>
      </w:pPr>
      <w:r>
        <w:rPr>
          <w:rFonts w:hint="eastAsia" w:ascii="仿宋" w:hAnsi="仿宋" w:eastAsia="仿宋"/>
          <w:b/>
          <w:bCs/>
          <w:kern w:val="0"/>
          <w:sz w:val="32"/>
          <w:szCs w:val="32"/>
        </w:rPr>
        <w:t>5.提升服务质量，商务代理稳中求变。</w:t>
      </w:r>
      <w:r>
        <w:rPr>
          <w:rFonts w:hint="eastAsia" w:ascii="仿宋" w:hAnsi="仿宋" w:eastAsia="仿宋"/>
          <w:kern w:val="0"/>
          <w:sz w:val="32"/>
          <w:szCs w:val="32"/>
        </w:rPr>
        <w:t>商务代理服务在传统业务基础上积极探索新发展模式，取得一定成效。</w:t>
      </w:r>
      <w:r>
        <w:rPr>
          <w:rFonts w:hint="eastAsia" w:ascii="仿宋" w:hAnsi="仿宋" w:eastAsia="仿宋"/>
          <w:b/>
          <w:bCs/>
          <w:kern w:val="0"/>
          <w:sz w:val="32"/>
          <w:szCs w:val="32"/>
        </w:rPr>
        <w:t>一是扎实开展固有业务。</w:t>
      </w:r>
      <w:r>
        <w:rPr>
          <w:rFonts w:hint="eastAsia" w:ascii="仿宋" w:hAnsi="仿宋" w:eastAsia="仿宋"/>
          <w:kern w:val="0"/>
          <w:sz w:val="32"/>
          <w:szCs w:val="32"/>
        </w:rPr>
        <w:t>做好项目服务、外籍人员服务、税务代理服务等传统业务，全年为近100家外商投资企业、机构提供一站式综合服务，成效良好。</w:t>
      </w:r>
      <w:r>
        <w:rPr>
          <w:rFonts w:hint="eastAsia" w:ascii="仿宋" w:hAnsi="仿宋" w:eastAsia="仿宋"/>
          <w:b/>
          <w:bCs/>
          <w:kern w:val="0"/>
          <w:sz w:val="32"/>
          <w:szCs w:val="32"/>
        </w:rPr>
        <w:t>二是积极探索创新。</w:t>
      </w:r>
      <w:r>
        <w:rPr>
          <w:rFonts w:hint="eastAsia" w:ascii="仿宋" w:hAnsi="仿宋" w:eastAsia="仿宋"/>
          <w:kern w:val="0"/>
          <w:sz w:val="32"/>
          <w:szCs w:val="32"/>
        </w:rPr>
        <w:t>面对疫情的不利影响，坚持开拓新业务，成功新增6家客户资源；面对多变的政策法规和市场状况，实时调整方案，及时更新和定期整理客户资料，维护好客户资源，深挖客户潜力，提供差异化服务，增强竞争优势。</w:t>
      </w:r>
    </w:p>
    <w:p>
      <w:pPr>
        <w:pStyle w:val="32"/>
        <w:keepNext w:val="0"/>
        <w:keepLines w:val="0"/>
        <w:pageBreakBefore w:val="0"/>
        <w:widowControl w:val="0"/>
        <w:tabs>
          <w:tab w:val="left" w:pos="703"/>
        </w:tabs>
        <w:kinsoku/>
        <w:wordWrap/>
        <w:overflowPunct/>
        <w:topLinePunct w:val="0"/>
        <w:autoSpaceDE/>
        <w:autoSpaceDN/>
        <w:bidi w:val="0"/>
        <w:spacing w:beforeLines="0" w:afterLines="0" w:line="560" w:lineRule="exact"/>
        <w:ind w:firstLine="642"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（四）多措并举，激发干部队伍活力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中心坚持把人才工作当作一项打基础、利长远的重要任务来抓，着力打造素质优良、结构优化、充满活力的人才队伍。</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 w:hAnsi="仿宋" w:eastAsia="仿宋"/>
          <w:sz w:val="32"/>
          <w:szCs w:val="32"/>
        </w:rPr>
      </w:pPr>
      <w:r>
        <w:rPr>
          <w:rFonts w:hint="eastAsia" w:ascii="仿宋" w:hAnsi="仿宋" w:eastAsia="仿宋"/>
          <w:b/>
          <w:bCs/>
          <w:sz w:val="32"/>
          <w:szCs w:val="32"/>
        </w:rPr>
        <w:t>一是推进制度建设。</w:t>
      </w:r>
      <w:r>
        <w:rPr>
          <w:rFonts w:hint="eastAsia" w:ascii="仿宋" w:hAnsi="仿宋" w:eastAsia="仿宋"/>
          <w:sz w:val="32"/>
          <w:szCs w:val="32"/>
        </w:rPr>
        <w:t>制定并实施《年度绩效考核办法（试行）》，鼓励员工到市场上找机会，进一步激发员工的工作热情，形成干事创业的良好氛围。</w:t>
      </w:r>
      <w:r>
        <w:rPr>
          <w:rFonts w:hint="eastAsia" w:ascii="仿宋" w:hAnsi="仿宋" w:eastAsia="仿宋"/>
          <w:b/>
          <w:bCs/>
          <w:sz w:val="32"/>
          <w:szCs w:val="32"/>
        </w:rPr>
        <w:t>二是优化队伍结构。</w:t>
      </w:r>
      <w:r>
        <w:rPr>
          <w:rFonts w:hint="eastAsia" w:ascii="仿宋" w:hAnsi="仿宋" w:eastAsia="仿宋"/>
          <w:b w:val="0"/>
          <w:bCs w:val="0"/>
          <w:sz w:val="32"/>
          <w:szCs w:val="32"/>
        </w:rPr>
        <w:t>为应对不利形势，增强竞争优势，</w:t>
      </w:r>
      <w:r>
        <w:rPr>
          <w:rFonts w:hint="eastAsia" w:ascii="仿宋" w:hAnsi="仿宋" w:eastAsia="仿宋"/>
          <w:sz w:val="32"/>
          <w:szCs w:val="32"/>
        </w:rPr>
        <w:t>中心深入分析科室业务结构和人才队伍现状，有针对性地进行人员结构调整，选拔聘任一批品德好，能力强，业务精的中层干部，调整部分人员岗位，充实到较弱科室，通过优化人才结构，动态人岗匹配，充分挖掘内部人员潜力，激发干事创业活力动能，实现各科室业务竞相开展的良好态势。全年，新进公招人员2名，聘任副科长2名，晋升专业技术人员2名，</w:t>
      </w:r>
      <w:r>
        <w:rPr>
          <w:rFonts w:hint="eastAsia" w:ascii="仿宋" w:hAnsi="仿宋" w:eastAsia="仿宋"/>
          <w:sz w:val="32"/>
          <w:szCs w:val="32"/>
          <w:highlight w:val="none"/>
        </w:rPr>
        <w:t>调整人员岗位3名。</w:t>
      </w:r>
      <w:r>
        <w:rPr>
          <w:rFonts w:hint="eastAsia" w:ascii="仿宋" w:hAnsi="仿宋" w:eastAsia="仿宋"/>
          <w:b/>
          <w:bCs/>
          <w:sz w:val="32"/>
          <w:szCs w:val="32"/>
        </w:rPr>
        <w:t>三是增强综合素质。</w:t>
      </w:r>
      <w:r>
        <w:rPr>
          <w:rFonts w:hint="eastAsia" w:ascii="仿宋" w:hAnsi="仿宋" w:eastAsia="仿宋"/>
          <w:sz w:val="32"/>
          <w:szCs w:val="32"/>
        </w:rPr>
        <w:t>全年共组织50余人次参加公文写作、党史教育、会计继续教育等培训，全面提升职工的职业素质和业务技能，提升了队伍战斗力。</w:t>
      </w:r>
      <w:r>
        <w:rPr>
          <w:rFonts w:hint="eastAsia" w:ascii="仿宋" w:hAnsi="仿宋" w:eastAsia="仿宋"/>
          <w:b/>
          <w:bCs/>
          <w:sz w:val="32"/>
          <w:szCs w:val="32"/>
        </w:rPr>
        <w:t>四是强化队伍管理</w:t>
      </w:r>
      <w:r>
        <w:rPr>
          <w:rFonts w:hint="eastAsia" w:ascii="仿宋" w:hAnsi="仿宋" w:eastAsia="仿宋"/>
          <w:b/>
          <w:bCs/>
          <w:sz w:val="32"/>
          <w:szCs w:val="32"/>
          <w:lang w:eastAsia="zh-CN"/>
        </w:rPr>
        <w:t>。</w:t>
      </w:r>
      <w:r>
        <w:rPr>
          <w:rFonts w:hint="eastAsia" w:ascii="仿宋" w:hAnsi="仿宋" w:eastAsia="仿宋"/>
          <w:sz w:val="32"/>
          <w:szCs w:val="32"/>
        </w:rPr>
        <w:t>严格开展干部职工年度考评，认真审核干部人事档案、核查编制信息，确保分配公平、人员信息真实准确，推动队伍规范化建设。</w:t>
      </w:r>
    </w:p>
    <w:p>
      <w:pPr>
        <w:pStyle w:val="32"/>
        <w:keepNext w:val="0"/>
        <w:keepLines w:val="0"/>
        <w:pageBreakBefore w:val="0"/>
        <w:widowControl w:val="0"/>
        <w:tabs>
          <w:tab w:val="left" w:pos="703"/>
        </w:tabs>
        <w:kinsoku/>
        <w:wordWrap/>
        <w:overflowPunct/>
        <w:topLinePunct w:val="0"/>
        <w:autoSpaceDE/>
        <w:autoSpaceDN/>
        <w:bidi w:val="0"/>
        <w:spacing w:beforeLines="0" w:afterLines="0" w:line="560" w:lineRule="exact"/>
        <w:ind w:firstLine="642"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（五）主动作为，帮扶助力乡村振兴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为贯彻落实省委关于巩固拓展脱贫攻坚成果同乡村振兴有效衔接的部署，中心主动作为，落实责任与担当。</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 w:hAnsi="仿宋" w:eastAsia="仿宋"/>
          <w:sz w:val="32"/>
          <w:szCs w:val="32"/>
        </w:rPr>
      </w:pPr>
      <w:r>
        <w:rPr>
          <w:rFonts w:hint="eastAsia" w:ascii="仿宋" w:hAnsi="仿宋" w:eastAsia="仿宋"/>
          <w:b/>
          <w:bCs/>
          <w:sz w:val="32"/>
          <w:szCs w:val="32"/>
        </w:rPr>
        <w:t>一是选派干部现场指导帮扶。</w:t>
      </w:r>
      <w:r>
        <w:rPr>
          <w:rFonts w:hint="eastAsia" w:ascii="仿宋" w:hAnsi="仿宋" w:eastAsia="仿宋"/>
          <w:sz w:val="32"/>
          <w:szCs w:val="32"/>
        </w:rPr>
        <w:t>在驻村工作队员李建英完成阿坝州黑水县木苏镇团结村3年脱贫攻坚任务后，中心继续派出职工张健强加入到商务系统帮扶凉山工作专班，到凉山开展巡回指导帮扶工作，推动脱贫基础更加稳固。</w:t>
      </w:r>
      <w:r>
        <w:rPr>
          <w:rFonts w:hint="eastAsia" w:ascii="仿宋" w:hAnsi="仿宋" w:eastAsia="仿宋"/>
          <w:b/>
          <w:bCs/>
          <w:sz w:val="32"/>
          <w:szCs w:val="32"/>
        </w:rPr>
        <w:t>二是助力贫困地区可持续发展。</w:t>
      </w:r>
      <w:r>
        <w:rPr>
          <w:rFonts w:hint="eastAsia" w:ascii="仿宋" w:hAnsi="仿宋" w:eastAsia="仿宋"/>
          <w:sz w:val="32"/>
          <w:szCs w:val="32"/>
        </w:rPr>
        <w:t>积极举办川货新春大拜年、川货电商节等活动，大力实施消费扶贫，推动物流体系建设，巩固拓展扶贫成果。举办多场外派劳务素质技能培训、出国就业培训班，通过就业帮扶，促进脱贫人员稳定就业，巩固脱贫成果。</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（六）夯实根基，筑牢安全管理防线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中心领导班子坚持把安全生产工作放在突出位置，时刻保持对安全生产工作的高度重视，压实主体责任，统筹安全和发展两个方面，为中心高质量发展营造良好的安全环境。</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一是统一思想，强化认识</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深入贯彻上级关于加强安全生产工作的指示精神，</w:t>
      </w:r>
      <w:r>
        <w:rPr>
          <w:rFonts w:hint="eastAsia" w:ascii="仿宋" w:hAnsi="仿宋" w:eastAsia="仿宋" w:cs="仿宋"/>
          <w:sz w:val="32"/>
          <w:szCs w:val="32"/>
          <w:lang w:val="en-US" w:eastAsia="zh-CN"/>
        </w:rPr>
        <w:t>严格执行</w:t>
      </w:r>
      <w:r>
        <w:rPr>
          <w:rFonts w:hint="eastAsia" w:ascii="仿宋" w:hAnsi="仿宋" w:eastAsia="仿宋" w:cs="仿宋"/>
          <w:sz w:val="32"/>
          <w:szCs w:val="32"/>
          <w:lang w:eastAsia="zh-CN"/>
        </w:rPr>
        <w:t>《中华人民共和国安全生产法》</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《四川省商务厅安全生产工作责任制度（暂行）》有关要求，定期召开安全生产工作专题会议，及时布置安全生产工作和整改安全隐患。</w:t>
      </w:r>
      <w:r>
        <w:rPr>
          <w:rFonts w:hint="eastAsia" w:ascii="仿宋" w:hAnsi="仿宋" w:eastAsia="仿宋" w:cs="仿宋"/>
          <w:sz w:val="32"/>
          <w:szCs w:val="32"/>
          <w:lang w:val="en-US" w:eastAsia="zh-CN"/>
        </w:rPr>
        <w:t>积极</w:t>
      </w:r>
      <w:r>
        <w:rPr>
          <w:rFonts w:hint="eastAsia" w:ascii="仿宋" w:hAnsi="仿宋" w:eastAsia="仿宋" w:cs="仿宋"/>
          <w:sz w:val="32"/>
          <w:szCs w:val="32"/>
          <w:lang w:eastAsia="zh-CN"/>
        </w:rPr>
        <w:t>开展安全生产教育培训，组织全体员工</w:t>
      </w:r>
      <w:r>
        <w:rPr>
          <w:rFonts w:hint="eastAsia" w:ascii="仿宋" w:hAnsi="仿宋" w:eastAsia="仿宋" w:cs="仿宋"/>
          <w:sz w:val="32"/>
          <w:szCs w:val="32"/>
          <w:lang w:val="en-US" w:eastAsia="zh-CN"/>
        </w:rPr>
        <w:t>学习</w:t>
      </w:r>
      <w:r>
        <w:rPr>
          <w:rFonts w:hint="eastAsia" w:ascii="仿宋" w:hAnsi="仿宋" w:eastAsia="仿宋" w:cs="仿宋"/>
          <w:sz w:val="32"/>
          <w:szCs w:val="32"/>
          <w:lang w:eastAsia="zh-CN"/>
        </w:rPr>
        <w:t>消防安全</w:t>
      </w:r>
      <w:r>
        <w:rPr>
          <w:rFonts w:hint="eastAsia" w:ascii="仿宋" w:hAnsi="仿宋" w:eastAsia="仿宋" w:cs="仿宋"/>
          <w:sz w:val="32"/>
          <w:szCs w:val="32"/>
          <w:lang w:val="en-US" w:eastAsia="zh-CN"/>
        </w:rPr>
        <w:t>知识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牢固树立</w:t>
      </w:r>
      <w:r>
        <w:rPr>
          <w:rFonts w:hint="eastAsia" w:ascii="仿宋" w:hAnsi="仿宋" w:eastAsia="仿宋" w:cs="仿宋"/>
          <w:sz w:val="32"/>
          <w:szCs w:val="32"/>
          <w:lang w:eastAsia="zh-CN"/>
        </w:rPr>
        <w:t>安全意识，</w:t>
      </w:r>
      <w:r>
        <w:rPr>
          <w:rFonts w:hint="eastAsia" w:ascii="仿宋" w:hAnsi="仿宋" w:eastAsia="仿宋" w:cs="仿宋"/>
          <w:sz w:val="32"/>
          <w:szCs w:val="32"/>
          <w:lang w:val="en-US" w:eastAsia="zh-CN"/>
        </w:rPr>
        <w:t>切实增强职工安全生产的责任感、紧迫感和使命感，坚决克服麻痹、松懈思想；</w:t>
      </w:r>
      <w:r>
        <w:rPr>
          <w:rFonts w:hint="eastAsia" w:ascii="仿宋" w:hAnsi="仿宋" w:eastAsia="仿宋" w:cs="仿宋"/>
          <w:b/>
          <w:bCs/>
          <w:color w:val="auto"/>
          <w:sz w:val="32"/>
          <w:szCs w:val="32"/>
          <w:lang w:val="en-US" w:eastAsia="zh-CN"/>
        </w:rPr>
        <w:t>二是突出重点，加强防范</w:t>
      </w:r>
      <w:r>
        <w:rPr>
          <w:rFonts w:hint="eastAsia" w:ascii="仿宋" w:hAnsi="仿宋" w:eastAsia="仿宋" w:cs="仿宋"/>
          <w:b/>
          <w:bCs/>
          <w:sz w:val="32"/>
          <w:szCs w:val="32"/>
          <w:lang w:val="en-US" w:eastAsia="zh-CN"/>
        </w:rPr>
        <w:t>。</w:t>
      </w:r>
      <w:r>
        <w:rPr>
          <w:rFonts w:hint="eastAsia" w:ascii="仿宋" w:hAnsi="仿宋" w:eastAsia="仿宋" w:cs="仿宋"/>
          <w:b w:val="0"/>
          <w:bCs w:val="0"/>
          <w:sz w:val="32"/>
          <w:szCs w:val="32"/>
          <w:lang w:val="en-US" w:eastAsia="zh-CN"/>
        </w:rPr>
        <w:t>结合中心工作实际，</w:t>
      </w:r>
      <w:r>
        <w:rPr>
          <w:rFonts w:hint="eastAsia" w:ascii="仿宋" w:hAnsi="仿宋" w:eastAsia="仿宋" w:cs="仿宋"/>
          <w:sz w:val="32"/>
          <w:szCs w:val="32"/>
          <w:lang w:val="en-US" w:eastAsia="zh-CN"/>
        </w:rPr>
        <w:t>认真贯彻“管业务必须管安全、管经营必须管安全”规定，全力做好疫情防控常态化条件下的安全管理工作，在承办会展活动过程中，始终把安全生产工作摆在重要位置，认真拟定会议消防安全工作、疫情防控工作等方案，严格落实各项安全工作措施，确保各项活动顺利开展；</w:t>
      </w:r>
      <w:r>
        <w:rPr>
          <w:rFonts w:hint="eastAsia" w:ascii="仿宋" w:hAnsi="仿宋" w:eastAsia="仿宋" w:cs="仿宋"/>
          <w:b/>
          <w:bCs/>
          <w:sz w:val="32"/>
          <w:szCs w:val="32"/>
          <w:lang w:val="en-US" w:eastAsia="zh-CN"/>
        </w:rPr>
        <w:t>三是强化检查，排除隐患。</w:t>
      </w:r>
      <w:r>
        <w:rPr>
          <w:rFonts w:hint="eastAsia" w:ascii="仿宋" w:hAnsi="仿宋" w:eastAsia="仿宋" w:cs="仿宋"/>
          <w:sz w:val="32"/>
          <w:szCs w:val="32"/>
          <w:lang w:val="en-US" w:eastAsia="zh-CN"/>
        </w:rPr>
        <w:t>中心坚持“安全第一、预防为主、综合治理”的工作方针，加强对办公区、数码出租房、北站东二路5号库房的安全保卫工作，指定专人定期检查并建立安全检查台账，对查出的安全隐患登记建档并责令整改。认真落实节假日值班管理规定，有效地遏制了各类事故的发生。</w:t>
      </w:r>
      <w:r>
        <w:rPr>
          <w:rFonts w:hint="eastAsia" w:ascii="仿宋" w:hAnsi="仿宋" w:eastAsia="仿宋" w:cs="仿宋"/>
          <w:b w:val="0"/>
          <w:bCs w:val="0"/>
          <w:sz w:val="32"/>
          <w:szCs w:val="32"/>
          <w:lang w:val="en-US" w:eastAsia="zh-CN"/>
        </w:rPr>
        <w:t>加强网络信息安全，</w:t>
      </w:r>
      <w:r>
        <w:rPr>
          <w:rFonts w:hint="eastAsia" w:ascii="仿宋" w:hAnsi="仿宋" w:eastAsia="仿宋" w:cs="仿宋"/>
          <w:sz w:val="32"/>
          <w:szCs w:val="32"/>
          <w:lang w:eastAsia="zh-CN"/>
        </w:rPr>
        <w:t>强化</w:t>
      </w:r>
      <w:r>
        <w:rPr>
          <w:rFonts w:hint="eastAsia" w:ascii="仿宋" w:hAnsi="仿宋" w:eastAsia="仿宋" w:cs="仿宋"/>
          <w:sz w:val="32"/>
          <w:szCs w:val="32"/>
          <w:lang w:val="en-US" w:eastAsia="zh-CN"/>
        </w:rPr>
        <w:t>中心网站建设和管理，规范上网信息发布程序，严格审查上网信息内容，确保信息上载准确安全。</w:t>
      </w:r>
    </w:p>
    <w:p>
      <w:pPr>
        <w:pStyle w:val="3"/>
        <w:numPr>
          <w:ilvl w:val="-1"/>
          <w:numId w:val="0"/>
        </w:numPr>
        <w:ind w:firstLine="642" w:firstLineChars="200"/>
        <w:rPr>
          <w:rFonts w:hint="eastAsia" w:ascii="黑体" w:hAnsi="黑体" w:eastAsia="黑体" w:cs="黑体"/>
          <w:b/>
          <w:lang w:eastAsia="zh-CN"/>
        </w:rPr>
      </w:pPr>
      <w:bookmarkStart w:id="21" w:name="_Toc25495"/>
      <w:r>
        <w:rPr>
          <w:rFonts w:hint="eastAsia" w:ascii="黑体" w:hAnsi="黑体" w:eastAsia="黑体" w:cs="黑体"/>
          <w:b/>
          <w:lang w:eastAsia="zh-CN"/>
        </w:rPr>
        <w:t>三、机构设置情况</w:t>
      </w:r>
      <w:bookmarkEnd w:id="21"/>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中心由</w:t>
      </w:r>
      <w:r>
        <w:rPr>
          <w:rFonts w:hint="eastAsia" w:ascii="仿宋" w:hAnsi="仿宋" w:eastAsia="仿宋" w:cs="仿宋"/>
          <w:sz w:val="32"/>
          <w:szCs w:val="32"/>
          <w:lang w:val="en-US" w:eastAsia="zh-CN"/>
        </w:rPr>
        <w:t>7个科室组成，分别是：</w:t>
      </w:r>
      <w:r>
        <w:rPr>
          <w:rFonts w:hint="eastAsia" w:ascii="仿宋" w:hAnsi="仿宋" w:eastAsia="仿宋" w:cs="仿宋"/>
          <w:sz w:val="32"/>
          <w:szCs w:val="32"/>
        </w:rPr>
        <w:t>办公室、人事科、商务交流培训科、国际经济合作科、贸易投资促进科、商务代理服务科、商贸流通促进科。</w:t>
      </w:r>
    </w:p>
    <w:p>
      <w:pPr>
        <w:spacing w:line="540" w:lineRule="exact"/>
        <w:ind w:firstLine="640" w:firstLineChars="200"/>
        <w:rPr>
          <w:rFonts w:hint="eastAsia" w:ascii="仿宋" w:hAnsi="仿宋" w:eastAsia="仿宋" w:cs="仿宋"/>
          <w:sz w:val="32"/>
          <w:szCs w:val="32"/>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2"/>
        <w:ind w:right="440"/>
        <w:jc w:val="center"/>
        <w:rPr>
          <w:rStyle w:val="26"/>
          <w:rFonts w:ascii="黑体" w:hAnsi="黑体" w:eastAsia="黑体"/>
          <w:b w:val="0"/>
          <w:bCs/>
          <w:color w:val="auto"/>
          <w:highlight w:val="none"/>
        </w:rPr>
      </w:pPr>
      <w:bookmarkStart w:id="22" w:name="_Toc15396602"/>
      <w:bookmarkStart w:id="23" w:name="_Toc15377204"/>
      <w:bookmarkStart w:id="24" w:name="_Toc1273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22"/>
      <w:bookmarkEnd w:id="23"/>
      <w:bookmarkEnd w:id="24"/>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5" w:name="_Toc15396603"/>
      <w:bookmarkStart w:id="26" w:name="_Toc4120"/>
      <w:bookmarkStart w:id="27"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5"/>
      <w:bookmarkEnd w:id="26"/>
      <w:bookmarkEnd w:id="27"/>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1417.08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382.06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36.91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中心承接了进博会走进四川活动，该活动的收支金额较大，故收支总计增长较多。</w:t>
      </w:r>
    </w:p>
    <w:p>
      <w:pPr>
        <w:pStyle w:val="5"/>
        <w:rPr>
          <w:rFonts w:hint="eastAsia"/>
          <w:lang w:eastAsia="zh-CN"/>
        </w:rPr>
      </w:pPr>
      <w:r>
        <w:rPr>
          <w:rFonts w:hint="eastAsia"/>
          <w:lang w:eastAsia="zh-CN"/>
        </w:rPr>
        <w:drawing>
          <wp:inline distT="0" distB="0" distL="114300" distR="114300">
            <wp:extent cx="5080000" cy="3810000"/>
            <wp:effectExtent l="4445" t="4445" r="5715" b="10795"/>
            <wp:docPr id="2" name="图表 2"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8" w:name="_Toc15396604"/>
      <w:bookmarkStart w:id="29" w:name="_Toc15377206"/>
      <w:bookmarkStart w:id="30" w:name="_Toc14517"/>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8"/>
      <w:bookmarkEnd w:id="29"/>
      <w:bookmarkEnd w:id="30"/>
    </w:p>
    <w:p>
      <w:pPr>
        <w:spacing w:line="600" w:lineRule="exact"/>
        <w:ind w:firstLine="640" w:firstLineChars="200"/>
        <w:outlineLvl w:val="1"/>
        <w:rPr>
          <w:rFonts w:ascii="仿宋" w:hAnsi="仿宋" w:eastAsia="仿宋"/>
          <w:color w:val="auto"/>
          <w:sz w:val="32"/>
          <w:szCs w:val="32"/>
          <w:highlight w:val="none"/>
        </w:rPr>
      </w:pPr>
      <w:bookmarkStart w:id="31" w:name="_Toc1400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1611.95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814.65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50.54</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797.30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49.46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1"/>
    </w:p>
    <w:p>
      <w:pPr>
        <w:pStyle w:val="5"/>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5080000" cy="4127500"/>
            <wp:effectExtent l="0" t="0" r="10160" b="254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5080000" cy="4127500"/>
                    </a:xfrm>
                    <a:prstGeom prst="rect">
                      <a:avLst/>
                    </a:prstGeom>
                  </pic:spPr>
                </pic:pic>
              </a:graphicData>
            </a:graphic>
          </wp:inline>
        </w:drawing>
      </w:r>
    </w:p>
    <w:p>
      <w:pPr>
        <w:spacing w:line="600" w:lineRule="exact"/>
        <w:ind w:firstLine="640" w:firstLineChars="200"/>
        <w:outlineLvl w:val="1"/>
        <w:rPr>
          <w:rFonts w:ascii="仿宋_GB2312" w:eastAsia="仿宋_GB2312"/>
          <w:color w:val="auto"/>
          <w:sz w:val="32"/>
          <w:szCs w:val="32"/>
          <w:highlight w:val="none"/>
        </w:rPr>
      </w:pPr>
      <w:bookmarkStart w:id="32" w:name="_Toc13966"/>
      <w:r>
        <w:rPr>
          <w:rFonts w:hint="eastAsia" w:ascii="仿宋" w:hAnsi="仿宋" w:eastAsia="仿宋"/>
          <w:color w:val="auto"/>
          <w:sz w:val="32"/>
          <w:szCs w:val="32"/>
          <w:highlight w:val="none"/>
        </w:rPr>
        <w:t>（图2：收入决算结构图）（饼状图）</w:t>
      </w:r>
      <w:bookmarkEnd w:id="32"/>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33" w:name="_Toc15396605"/>
      <w:bookmarkStart w:id="34" w:name="_Toc9953"/>
      <w:bookmarkStart w:id="35"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33"/>
      <w:bookmarkEnd w:id="34"/>
      <w:bookmarkEnd w:id="35"/>
    </w:p>
    <w:p>
      <w:pPr>
        <w:spacing w:line="600" w:lineRule="exact"/>
        <w:ind w:firstLine="640" w:firstLineChars="200"/>
        <w:outlineLvl w:val="1"/>
        <w:rPr>
          <w:rFonts w:ascii="仿宋" w:hAnsi="仿宋" w:eastAsia="仿宋"/>
          <w:color w:val="auto"/>
          <w:sz w:val="32"/>
          <w:szCs w:val="32"/>
          <w:highlight w:val="none"/>
        </w:rPr>
      </w:pPr>
      <w:bookmarkStart w:id="36" w:name="_Toc3065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1559.39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248.30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15.92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566.35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36.32</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744.74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47.76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6"/>
    </w:p>
    <w:p>
      <w:pPr>
        <w:spacing w:line="600" w:lineRule="exact"/>
        <w:ind w:firstLine="640"/>
        <w:rPr>
          <w:rFonts w:hint="eastAsia" w:ascii="仿宋" w:hAnsi="仿宋" w:eastAsia="仿宋"/>
          <w:color w:val="auto"/>
          <w:sz w:val="32"/>
          <w:szCs w:val="32"/>
          <w:highlight w:val="none"/>
          <w:shd w:val="pct10" w:color="auto" w:fill="FFFFFF"/>
          <w:lang w:eastAsia="zh-CN"/>
        </w:rPr>
      </w:pPr>
    </w:p>
    <w:p>
      <w:pPr>
        <w:pStyle w:val="5"/>
        <w:rPr>
          <w:rFonts w:hint="eastAsia"/>
          <w:lang w:eastAsia="zh-CN"/>
        </w:rPr>
      </w:pPr>
      <w:r>
        <w:rPr>
          <w:rFonts w:hint="eastAsia"/>
          <w:lang w:eastAsia="zh-CN"/>
        </w:rPr>
        <w:drawing>
          <wp:inline distT="0" distB="0" distL="114300" distR="114300">
            <wp:extent cx="5080000" cy="3810000"/>
            <wp:effectExtent l="4445" t="4445" r="5715" b="41275"/>
            <wp:docPr id="6" name="图表 6" descr="7b0a202020202263686172745265734964223a202232303436393937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280" w:firstLineChars="4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7"/>
          <w:rFonts w:ascii="黑体" w:hAnsi="黑体" w:eastAsia="黑体"/>
          <w:b w:val="0"/>
          <w:color w:val="auto"/>
          <w:highlight w:val="none"/>
        </w:rPr>
      </w:pPr>
      <w:bookmarkStart w:id="37" w:name="_Toc15377208"/>
      <w:bookmarkStart w:id="38" w:name="_Toc15396606"/>
      <w:bookmarkStart w:id="39" w:name="_Toc26416"/>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37"/>
      <w:bookmarkEnd w:id="38"/>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814.65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347.67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74.45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中心承接了进博会走进四川活动，该活动使用财政资金，收支金额较大。</w:t>
      </w:r>
    </w:p>
    <w:p>
      <w:pPr>
        <w:pStyle w:val="5"/>
        <w:rPr>
          <w:rFonts w:hint="eastAsia" w:eastAsia="仿宋"/>
          <w:lang w:eastAsia="zh-CN"/>
        </w:rPr>
      </w:pPr>
      <w:r>
        <w:rPr>
          <w:rFonts w:hint="eastAsia" w:eastAsia="仿宋"/>
          <w:lang w:eastAsia="zh-CN"/>
        </w:rPr>
        <w:drawing>
          <wp:inline distT="0" distB="0" distL="114300" distR="114300">
            <wp:extent cx="5080000" cy="3940810"/>
            <wp:effectExtent l="4445" t="4445" r="5715" b="17145"/>
            <wp:docPr id="7" name="图表 7" descr="7b0a202020202263686172745265734964223a202232303437343531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9"/>
        <w:rPr>
          <w:rFonts w:hint="eastAsia" w:ascii="黑体" w:hAnsi="黑体" w:eastAsia="黑体"/>
          <w:color w:val="auto"/>
          <w:sz w:val="32"/>
          <w:szCs w:val="32"/>
          <w:highlight w:val="none"/>
        </w:rPr>
      </w:pPr>
      <w:r>
        <w:rPr>
          <w:rFonts w:hint="eastAsia" w:ascii="仿宋" w:hAnsi="仿宋" w:eastAsia="仿宋"/>
          <w:color w:val="auto"/>
          <w:sz w:val="32"/>
          <w:szCs w:val="32"/>
          <w:highlight w:val="none"/>
        </w:rPr>
        <w:t>（图4：财政拨款收、支决算总计变动情况）（柱状图）</w:t>
      </w:r>
      <w:bookmarkStart w:id="40" w:name="_Toc15377209"/>
      <w:bookmarkStart w:id="41" w:name="_Toc15396607"/>
    </w:p>
    <w:p>
      <w:pPr>
        <w:spacing w:line="600" w:lineRule="exact"/>
        <w:ind w:firstLine="642" w:firstLineChars="200"/>
        <w:outlineLvl w:val="1"/>
        <w:rPr>
          <w:rStyle w:val="27"/>
          <w:rFonts w:hint="eastAsia" w:ascii="黑体" w:hAnsi="黑体" w:eastAsia="黑体"/>
          <w:b w:val="0"/>
          <w:bCs w:val="0"/>
          <w:color w:val="auto"/>
          <w:highlight w:val="none"/>
          <w:lang w:eastAsia="zh-CN"/>
        </w:rPr>
      </w:pPr>
      <w:bookmarkStart w:id="42" w:name="_Toc6208"/>
      <w:r>
        <w:rPr>
          <w:rFonts w:hint="eastAsia" w:ascii="黑体" w:hAnsi="黑体" w:eastAsia="黑体"/>
          <w:b/>
          <w:bCs/>
          <w:color w:val="auto"/>
          <w:sz w:val="32"/>
          <w:szCs w:val="32"/>
          <w:highlight w:val="none"/>
        </w:rPr>
        <w:t>五、一</w:t>
      </w:r>
      <w:r>
        <w:rPr>
          <w:rStyle w:val="27"/>
          <w:rFonts w:hint="eastAsia" w:ascii="黑体" w:hAnsi="黑体" w:eastAsia="黑体"/>
          <w:b/>
          <w:color w:val="auto"/>
          <w:highlight w:val="none"/>
        </w:rPr>
        <w:t>般公共预算财政拨款支出决算情况说明</w:t>
      </w:r>
      <w:bookmarkEnd w:id="40"/>
      <w:bookmarkEnd w:id="41"/>
      <w:bookmarkEnd w:id="42"/>
    </w:p>
    <w:p>
      <w:pPr>
        <w:spacing w:line="600" w:lineRule="exact"/>
        <w:ind w:firstLine="642" w:firstLineChars="200"/>
        <w:outlineLvl w:val="2"/>
        <w:rPr>
          <w:rFonts w:ascii="仿宋" w:hAnsi="仿宋" w:eastAsia="仿宋"/>
          <w:b/>
          <w:color w:val="auto"/>
          <w:sz w:val="32"/>
          <w:szCs w:val="32"/>
          <w:highlight w:val="none"/>
        </w:rPr>
      </w:pPr>
      <w:bookmarkStart w:id="43" w:name="_Toc15377210"/>
      <w:r>
        <w:rPr>
          <w:rFonts w:hint="eastAsia" w:ascii="仿宋" w:hAnsi="仿宋" w:eastAsia="仿宋"/>
          <w:b/>
          <w:color w:val="auto"/>
          <w:sz w:val="32"/>
          <w:szCs w:val="32"/>
          <w:highlight w:val="none"/>
        </w:rPr>
        <w:t>（一）一般公共预算财政拨款支出决算总体情况</w:t>
      </w:r>
      <w:bookmarkEnd w:id="43"/>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814.65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52.24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347.67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74.45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中心承接了进博会走进四川活动，该活动使用财政资金，收支金额较大。</w:t>
      </w:r>
    </w:p>
    <w:p>
      <w:pPr>
        <w:pStyle w:val="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5715" b="10795"/>
            <wp:docPr id="10" name="图表 10" descr="7b0a202020202263686172745265734964223a202232303437343734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2" w:firstLineChars="200"/>
        <w:outlineLvl w:val="2"/>
        <w:rPr>
          <w:rFonts w:ascii="仿宋" w:hAnsi="仿宋" w:eastAsia="仿宋"/>
          <w:b/>
          <w:color w:val="auto"/>
          <w:sz w:val="32"/>
          <w:szCs w:val="32"/>
          <w:highlight w:val="none"/>
        </w:rPr>
      </w:pPr>
      <w:bookmarkStart w:id="44" w:name="_Toc15377211"/>
      <w:r>
        <w:rPr>
          <w:rFonts w:hint="eastAsia" w:ascii="仿宋" w:hAnsi="仿宋" w:eastAsia="仿宋"/>
          <w:b/>
          <w:color w:val="auto"/>
          <w:sz w:val="32"/>
          <w:szCs w:val="32"/>
          <w:highlight w:val="none"/>
        </w:rPr>
        <w:t>（二）一般公共预算财政拨款支出决算结构情况</w:t>
      </w:r>
      <w:bookmarkEnd w:id="44"/>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814.65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bCs w:val="0"/>
          <w:color w:val="auto"/>
          <w:sz w:val="32"/>
          <w:szCs w:val="32"/>
          <w:highlight w:val="none"/>
        </w:rPr>
        <w:t>一般公共服务（类）</w:t>
      </w:r>
      <w:r>
        <w:rPr>
          <w:rFonts w:hint="eastAsia" w:ascii="仿宋" w:hAnsi="仿宋" w:eastAsia="仿宋"/>
          <w:bCs/>
          <w:color w:val="auto"/>
          <w:sz w:val="32"/>
          <w:szCs w:val="32"/>
          <w:highlight w:val="none"/>
        </w:rPr>
        <w:t>支出</w:t>
      </w:r>
      <w:r>
        <w:rPr>
          <w:rFonts w:hint="eastAsia" w:ascii="仿宋" w:hAnsi="仿宋" w:eastAsia="仿宋"/>
          <w:bCs/>
          <w:color w:val="auto"/>
          <w:sz w:val="32"/>
          <w:szCs w:val="32"/>
          <w:highlight w:val="none"/>
          <w:lang w:val="en-US" w:eastAsia="zh-CN"/>
        </w:rPr>
        <w:t>394.43</w:t>
      </w:r>
      <w:r>
        <w:rPr>
          <w:rFonts w:hint="eastAsia" w:ascii="仿宋" w:hAnsi="仿宋" w:eastAsia="仿宋"/>
          <w:bCs/>
          <w:color w:val="auto"/>
          <w:sz w:val="32"/>
          <w:szCs w:val="32"/>
          <w:highlight w:val="none"/>
        </w:rPr>
        <w:t>万元，占</w:t>
      </w:r>
      <w:r>
        <w:rPr>
          <w:rFonts w:hint="eastAsia" w:ascii="仿宋" w:hAnsi="仿宋" w:eastAsia="仿宋"/>
          <w:bCs/>
          <w:color w:val="auto"/>
          <w:sz w:val="32"/>
          <w:szCs w:val="32"/>
          <w:highlight w:val="none"/>
          <w:lang w:val="en-US" w:eastAsia="zh-CN"/>
        </w:rPr>
        <w:t>48.42</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w:t>
      </w:r>
      <w:r>
        <w:rPr>
          <w:rFonts w:hint="eastAsia" w:ascii="仿宋" w:hAnsi="仿宋" w:eastAsia="仿宋"/>
          <w:b/>
          <w:bCs w:val="0"/>
          <w:color w:val="auto"/>
          <w:sz w:val="32"/>
          <w:szCs w:val="32"/>
          <w:highlight w:val="none"/>
        </w:rPr>
        <w:t>教育支出（类）</w:t>
      </w:r>
      <w:r>
        <w:rPr>
          <w:rFonts w:hint="eastAsia" w:ascii="仿宋" w:hAnsi="仿宋" w:eastAsia="仿宋"/>
          <w:bCs/>
          <w:color w:val="auto"/>
          <w:sz w:val="32"/>
          <w:szCs w:val="32"/>
          <w:highlight w:val="none"/>
          <w:lang w:val="en-US" w:eastAsia="zh-CN"/>
        </w:rPr>
        <w:t>2.00</w:t>
      </w:r>
      <w:r>
        <w:rPr>
          <w:rFonts w:hint="eastAsia" w:ascii="仿宋" w:hAnsi="仿宋" w:eastAsia="仿宋"/>
          <w:bCs/>
          <w:color w:val="auto"/>
          <w:sz w:val="32"/>
          <w:szCs w:val="32"/>
          <w:highlight w:val="none"/>
        </w:rPr>
        <w:t>万元，占</w:t>
      </w:r>
      <w:r>
        <w:rPr>
          <w:rFonts w:hint="eastAsia" w:ascii="仿宋" w:hAnsi="仿宋" w:eastAsia="仿宋"/>
          <w:bCs/>
          <w:color w:val="auto"/>
          <w:sz w:val="32"/>
          <w:szCs w:val="32"/>
          <w:highlight w:val="none"/>
          <w:lang w:val="en-US" w:eastAsia="zh-CN"/>
        </w:rPr>
        <w:t>0.25</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w:t>
      </w:r>
      <w:r>
        <w:rPr>
          <w:rFonts w:hint="eastAsia" w:ascii="仿宋" w:hAnsi="仿宋" w:eastAsia="仿宋"/>
          <w:b/>
          <w:bCs w:val="0"/>
          <w:color w:val="auto"/>
          <w:sz w:val="32"/>
          <w:szCs w:val="32"/>
          <w:highlight w:val="none"/>
        </w:rPr>
        <w:t>社会保障和就业（类）</w:t>
      </w:r>
      <w:r>
        <w:rPr>
          <w:rFonts w:hint="eastAsia" w:ascii="仿宋" w:hAnsi="仿宋" w:eastAsia="仿宋"/>
          <w:bCs/>
          <w:color w:val="auto"/>
          <w:sz w:val="32"/>
          <w:szCs w:val="32"/>
          <w:highlight w:val="none"/>
        </w:rPr>
        <w:t>支出</w:t>
      </w:r>
      <w:r>
        <w:rPr>
          <w:rFonts w:hint="eastAsia" w:ascii="仿宋" w:hAnsi="仿宋" w:eastAsia="仿宋"/>
          <w:bCs/>
          <w:color w:val="auto"/>
          <w:sz w:val="32"/>
          <w:szCs w:val="32"/>
          <w:highlight w:val="none"/>
          <w:lang w:val="en-US" w:eastAsia="zh-CN"/>
        </w:rPr>
        <w:t>48.39</w:t>
      </w:r>
      <w:r>
        <w:rPr>
          <w:rFonts w:hint="eastAsia" w:ascii="仿宋" w:hAnsi="仿宋" w:eastAsia="仿宋"/>
          <w:bCs/>
          <w:color w:val="auto"/>
          <w:sz w:val="32"/>
          <w:szCs w:val="32"/>
          <w:highlight w:val="none"/>
        </w:rPr>
        <w:t>万元，占</w:t>
      </w:r>
      <w:r>
        <w:rPr>
          <w:rFonts w:hint="eastAsia" w:ascii="仿宋" w:hAnsi="仿宋" w:eastAsia="仿宋"/>
          <w:bCs/>
          <w:color w:val="auto"/>
          <w:sz w:val="32"/>
          <w:szCs w:val="32"/>
          <w:highlight w:val="none"/>
          <w:lang w:val="en-US" w:eastAsia="zh-CN"/>
        </w:rPr>
        <w:t>5.94</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w:t>
      </w:r>
      <w:r>
        <w:rPr>
          <w:rFonts w:hint="eastAsia" w:ascii="仿宋" w:hAnsi="仿宋" w:eastAsia="仿宋"/>
          <w:b/>
          <w:bCs w:val="0"/>
          <w:color w:val="auto"/>
          <w:sz w:val="32"/>
          <w:szCs w:val="32"/>
          <w:highlight w:val="none"/>
        </w:rPr>
        <w:t>住房保障支出</w:t>
      </w:r>
      <w:r>
        <w:rPr>
          <w:rFonts w:hint="eastAsia" w:ascii="仿宋" w:hAnsi="仿宋" w:eastAsia="仿宋"/>
          <w:b/>
          <w:bCs w:val="0"/>
          <w:color w:val="auto"/>
          <w:sz w:val="32"/>
          <w:szCs w:val="32"/>
          <w:highlight w:val="none"/>
          <w:lang w:eastAsia="zh-CN"/>
        </w:rPr>
        <w:t>（类）</w:t>
      </w:r>
      <w:r>
        <w:rPr>
          <w:rFonts w:hint="eastAsia" w:ascii="仿宋" w:hAnsi="仿宋" w:eastAsia="仿宋"/>
          <w:bCs/>
          <w:color w:val="auto"/>
          <w:sz w:val="32"/>
          <w:szCs w:val="32"/>
          <w:highlight w:val="none"/>
          <w:lang w:val="en-US" w:eastAsia="zh-CN"/>
        </w:rPr>
        <w:t>24.19</w:t>
      </w:r>
      <w:r>
        <w:rPr>
          <w:rFonts w:hint="eastAsia" w:ascii="仿宋" w:hAnsi="仿宋" w:eastAsia="仿宋"/>
          <w:bCs/>
          <w:color w:val="auto"/>
          <w:sz w:val="32"/>
          <w:szCs w:val="32"/>
          <w:highlight w:val="none"/>
        </w:rPr>
        <w:t>万元，占</w:t>
      </w:r>
      <w:r>
        <w:rPr>
          <w:rFonts w:hint="eastAsia" w:ascii="仿宋" w:hAnsi="仿宋" w:eastAsia="仿宋"/>
          <w:bCs/>
          <w:color w:val="auto"/>
          <w:sz w:val="32"/>
          <w:szCs w:val="32"/>
          <w:highlight w:val="none"/>
          <w:lang w:val="en-US" w:eastAsia="zh-CN"/>
        </w:rPr>
        <w:t>2.97</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w:t>
      </w:r>
      <w:r>
        <w:rPr>
          <w:rFonts w:hint="eastAsia" w:ascii="仿宋" w:hAnsi="仿宋" w:eastAsia="仿宋"/>
          <w:b/>
          <w:bCs w:val="0"/>
          <w:color w:val="auto"/>
          <w:sz w:val="32"/>
          <w:szCs w:val="32"/>
          <w:highlight w:val="none"/>
          <w:lang w:eastAsia="zh-CN"/>
        </w:rPr>
        <w:t>商业服务业等支出（类）</w:t>
      </w:r>
      <w:r>
        <w:rPr>
          <w:rFonts w:hint="eastAsia" w:ascii="仿宋" w:hAnsi="仿宋" w:eastAsia="仿宋"/>
          <w:bCs/>
          <w:color w:val="auto"/>
          <w:sz w:val="32"/>
          <w:szCs w:val="32"/>
          <w:highlight w:val="none"/>
          <w:lang w:val="en-US" w:eastAsia="zh-CN"/>
        </w:rPr>
        <w:t>345.64</w:t>
      </w:r>
      <w:r>
        <w:rPr>
          <w:rFonts w:hint="eastAsia" w:ascii="仿宋" w:hAnsi="仿宋" w:eastAsia="仿宋"/>
          <w:color w:val="auto"/>
          <w:sz w:val="32"/>
          <w:szCs w:val="32"/>
          <w:highlight w:val="none"/>
          <w:lang w:val="en-US" w:eastAsia="zh-CN"/>
        </w:rPr>
        <w:t>万元，占42.42%</w:t>
      </w:r>
      <w:r>
        <w:rPr>
          <w:rFonts w:hint="eastAsia" w:ascii="仿宋" w:hAnsi="仿宋" w:eastAsia="仿宋"/>
          <w:color w:val="auto"/>
          <w:sz w:val="32"/>
          <w:szCs w:val="32"/>
          <w:highlight w:val="none"/>
        </w:rPr>
        <w:t>。</w:t>
      </w:r>
    </w:p>
    <w:p>
      <w:pPr>
        <w:pStyle w:val="5"/>
        <w:rPr>
          <w:rFonts w:hint="eastAsia" w:eastAsia="仿宋"/>
          <w:lang w:eastAsia="zh-CN"/>
        </w:rPr>
      </w:pPr>
      <w:r>
        <w:rPr>
          <w:rFonts w:hint="eastAsia" w:eastAsia="仿宋"/>
          <w:lang w:eastAsia="zh-CN"/>
        </w:rPr>
        <w:drawing>
          <wp:inline distT="0" distB="0" distL="114300" distR="114300">
            <wp:extent cx="5080000" cy="3810000"/>
            <wp:effectExtent l="4445" t="4445" r="5715" b="10795"/>
            <wp:docPr id="11" name="图表 11" descr="7b0a202020202263686172745265734964223a2022323034373330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2" w:firstLineChars="200"/>
        <w:outlineLvl w:val="2"/>
        <w:rPr>
          <w:rFonts w:ascii="仿宋" w:hAnsi="仿宋" w:eastAsia="仿宋"/>
          <w:b/>
          <w:color w:val="auto"/>
          <w:sz w:val="32"/>
          <w:szCs w:val="32"/>
          <w:highlight w:val="none"/>
        </w:rPr>
      </w:pPr>
      <w:bookmarkStart w:id="45" w:name="_Toc15377212"/>
      <w:r>
        <w:rPr>
          <w:rFonts w:hint="eastAsia" w:ascii="仿宋" w:hAnsi="仿宋" w:eastAsia="仿宋"/>
          <w:b/>
          <w:color w:val="auto"/>
          <w:sz w:val="32"/>
          <w:szCs w:val="32"/>
          <w:highlight w:val="none"/>
        </w:rPr>
        <w:t>（三）一般公共预算财政拨款支出决算具体情况</w:t>
      </w:r>
      <w:bookmarkEnd w:id="45"/>
    </w:p>
    <w:p>
      <w:pPr>
        <w:spacing w:line="600" w:lineRule="exact"/>
        <w:ind w:firstLine="642" w:firstLineChars="200"/>
        <w:outlineLvl w:val="1"/>
        <w:rPr>
          <w:rFonts w:ascii="仿宋" w:hAnsi="仿宋" w:eastAsia="仿宋"/>
          <w:color w:val="auto"/>
          <w:sz w:val="32"/>
          <w:szCs w:val="32"/>
          <w:highlight w:val="none"/>
        </w:rPr>
      </w:pPr>
      <w:bookmarkStart w:id="46" w:name="_Toc15377213"/>
      <w:bookmarkStart w:id="47" w:name="_Toc15377444"/>
      <w:bookmarkStart w:id="48" w:name="_Toc15378460"/>
      <w:bookmarkStart w:id="49" w:name="_Toc24086"/>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814.65万元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46"/>
      <w:bookmarkEnd w:id="47"/>
      <w:bookmarkEnd w:id="48"/>
      <w:bookmarkEnd w:id="49"/>
    </w:p>
    <w:p>
      <w:pPr>
        <w:spacing w:line="600" w:lineRule="exact"/>
        <w:ind w:firstLine="642"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1.</w:t>
      </w:r>
      <w:r>
        <w:rPr>
          <w:rStyle w:val="16"/>
          <w:rFonts w:hint="eastAsia" w:ascii="仿宋" w:hAnsi="仿宋" w:eastAsia="仿宋"/>
          <w:bCs/>
          <w:sz w:val="32"/>
          <w:szCs w:val="32"/>
        </w:rPr>
        <w:t>一般公共服务（类）商贸事务（款）事业运行（项）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3.75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2" w:firstLineChars="200"/>
        <w:rPr>
          <w:rStyle w:val="16"/>
          <w:rFonts w:ascii="仿宋" w:hAnsi="仿宋" w:eastAsia="仿宋"/>
          <w:bCs/>
          <w:color w:val="auto"/>
          <w:sz w:val="32"/>
          <w:szCs w:val="32"/>
          <w:highlight w:val="none"/>
        </w:rPr>
      </w:pPr>
      <w:r>
        <w:rPr>
          <w:rStyle w:val="16"/>
          <w:rFonts w:ascii="仿宋" w:hAnsi="仿宋" w:eastAsia="仿宋"/>
          <w:bCs/>
          <w:color w:val="auto"/>
          <w:sz w:val="32"/>
          <w:szCs w:val="32"/>
          <w:highlight w:val="none"/>
        </w:rPr>
        <w:t>2.</w:t>
      </w:r>
      <w:r>
        <w:rPr>
          <w:rStyle w:val="16"/>
          <w:rFonts w:hint="eastAsia" w:ascii="仿宋" w:hAnsi="仿宋" w:eastAsia="仿宋" w:cstheme="minorBidi"/>
          <w:bCs/>
          <w:sz w:val="32"/>
          <w:szCs w:val="32"/>
        </w:rPr>
        <w:t>一般公</w:t>
      </w:r>
      <w:r>
        <w:rPr>
          <w:rStyle w:val="16"/>
          <w:rFonts w:hint="eastAsia" w:ascii="仿宋" w:hAnsi="仿宋" w:eastAsia="仿宋" w:cstheme="minorBidi"/>
          <w:sz w:val="32"/>
          <w:szCs w:val="32"/>
        </w:rPr>
        <w:t>共服务（类）商贸事务（款）其他商贸事务支出（项）</w:t>
      </w:r>
      <w:r>
        <w:rPr>
          <w:rStyle w:val="16"/>
          <w:rFonts w:hint="eastAsia" w:ascii="仿宋" w:hAnsi="仿宋" w:eastAsia="仿宋" w:cstheme="minorBidi"/>
          <w:sz w:val="32"/>
          <w:szCs w:val="32"/>
          <w:lang w:eastAsia="zh-CN"/>
        </w:rPr>
        <w:t>：</w:t>
      </w:r>
      <w:r>
        <w:rPr>
          <w:rStyle w:val="16"/>
          <w:rFonts w:hint="eastAsia" w:ascii="仿宋" w:hAnsi="仿宋" w:eastAsia="仿宋"/>
          <w:b w:val="0"/>
          <w:bCs/>
          <w:color w:val="auto"/>
          <w:sz w:val="32"/>
          <w:szCs w:val="32"/>
          <w:highlight w:val="none"/>
        </w:rPr>
        <w:t>支出决算</w:t>
      </w:r>
      <w:r>
        <w:rPr>
          <w:rStyle w:val="16"/>
          <w:rFonts w:hint="eastAsia" w:ascii="仿宋" w:hAnsi="仿宋" w:eastAsia="仿宋"/>
          <w:b w:val="0"/>
          <w:bCs/>
          <w:color w:val="auto"/>
          <w:sz w:val="32"/>
          <w:szCs w:val="32"/>
          <w:highlight w:val="none"/>
          <w:lang w:val="en-US" w:eastAsia="zh-CN"/>
        </w:rPr>
        <w:t>:390.68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Style w:val="16"/>
          <w:rFonts w:hint="eastAsia" w:ascii="仿宋" w:hAnsi="仿宋" w:eastAsia="仿宋"/>
          <w:bCs/>
          <w:sz w:val="32"/>
          <w:szCs w:val="32"/>
        </w:rPr>
        <w:t>教育（类）</w:t>
      </w:r>
      <w:r>
        <w:rPr>
          <w:rStyle w:val="16"/>
          <w:rFonts w:hint="eastAsia" w:ascii="仿宋" w:hAnsi="仿宋" w:eastAsia="仿宋"/>
          <w:bCs/>
          <w:sz w:val="32"/>
          <w:szCs w:val="32"/>
          <w:lang w:eastAsia="zh-CN"/>
        </w:rPr>
        <w:t>进修及培训</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培训支出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w:t>
      </w:r>
      <w:r>
        <w:rPr>
          <w:rStyle w:val="16"/>
          <w:rFonts w:hint="eastAsia" w:ascii="仿宋" w:hAnsi="仿宋" w:eastAsia="仿宋"/>
          <w:b w:val="0"/>
          <w:bCs/>
          <w:sz w:val="32"/>
          <w:szCs w:val="32"/>
        </w:rPr>
        <w:t>.</w:t>
      </w:r>
      <w:r>
        <w:rPr>
          <w:rStyle w:val="16"/>
          <w:rFonts w:hint="eastAsia" w:ascii="仿宋" w:hAnsi="仿宋" w:eastAsia="仿宋"/>
          <w:b w:val="0"/>
          <w:bCs/>
          <w:sz w:val="32"/>
          <w:szCs w:val="32"/>
          <w:lang w:val="en-US" w:eastAsia="zh-CN"/>
        </w:rPr>
        <w:t>00</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2"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4.</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行政事业单位养老支出</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机关事业单位基本养老保险缴费支出</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32.26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2" w:firstLineChars="200"/>
        <w:rPr>
          <w:rStyle w:val="16"/>
          <w:rFonts w:hint="eastAsia" w:ascii="仿宋" w:hAnsi="仿宋" w:eastAsia="仿宋"/>
          <w:b w:val="0"/>
          <w:bCs/>
          <w:color w:val="auto"/>
          <w:sz w:val="32"/>
          <w:szCs w:val="32"/>
          <w:highlight w:val="none"/>
          <w:lang w:eastAsia="zh-CN"/>
        </w:rPr>
      </w:pPr>
      <w:r>
        <w:rPr>
          <w:rStyle w:val="16"/>
          <w:rFonts w:ascii="仿宋" w:hAnsi="仿宋" w:eastAsia="仿宋"/>
          <w:bCs/>
          <w:color w:val="auto"/>
          <w:sz w:val="32"/>
          <w:szCs w:val="32"/>
          <w:highlight w:val="none"/>
        </w:rPr>
        <w:t>5.</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行政事业单位养老支出</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机关事业单位职业年金缴费支出</w:t>
      </w:r>
      <w:r>
        <w:rPr>
          <w:rStyle w:val="16"/>
          <w:rFonts w:hint="eastAsia" w:ascii="仿宋" w:hAnsi="仿宋" w:eastAsia="仿宋"/>
          <w:bCs/>
          <w:sz w:val="32"/>
          <w:szCs w:val="32"/>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16.13</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420" w:firstLineChars="200"/>
        <w:rPr>
          <w:rStyle w:val="16"/>
          <w:rFonts w:hint="eastAsia" w:ascii="仿宋" w:hAnsi="仿宋" w:eastAsia="仿宋"/>
          <w:b w:val="0"/>
          <w:bCs/>
          <w:color w:val="auto"/>
          <w:sz w:val="32"/>
          <w:szCs w:val="32"/>
          <w:highlight w:val="none"/>
        </w:rPr>
      </w:pPr>
      <w:r>
        <w:rPr>
          <w:rFonts w:hint="eastAsia"/>
          <w:lang w:val="en-US" w:eastAsia="zh-CN"/>
        </w:rPr>
        <w:t xml:space="preserve">  </w:t>
      </w:r>
      <w:r>
        <w:rPr>
          <w:rStyle w:val="16"/>
          <w:rFonts w:ascii="仿宋" w:hAnsi="仿宋" w:eastAsia="仿宋"/>
          <w:bCs/>
          <w:color w:val="auto"/>
          <w:sz w:val="32"/>
          <w:szCs w:val="32"/>
          <w:highlight w:val="none"/>
        </w:rPr>
        <w:t>6.</w:t>
      </w:r>
      <w:r>
        <w:rPr>
          <w:rFonts w:hint="eastAsia" w:ascii="仿宋" w:hAnsi="仿宋" w:eastAsia="仿宋"/>
          <w:b/>
          <w:bCs/>
          <w:color w:val="auto"/>
          <w:sz w:val="32"/>
          <w:szCs w:val="32"/>
          <w:highlight w:val="none"/>
          <w:lang w:eastAsia="zh-CN"/>
        </w:rPr>
        <w:t>商业服务业等支出</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eastAsia="zh-CN"/>
        </w:rPr>
        <w:t>涉外发展服务支出</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其他涉外发展服务支出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345.64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420" w:firstLineChars="200"/>
      </w:pPr>
      <w:r>
        <w:rPr>
          <w:rFonts w:hint="eastAsia"/>
          <w:lang w:val="en-US" w:eastAsia="zh-CN"/>
        </w:rPr>
        <w:t xml:space="preserve"> </w:t>
      </w:r>
      <w:r>
        <w:rPr>
          <w:rStyle w:val="16"/>
          <w:rFonts w:hint="eastAsia" w:ascii="仿宋" w:hAnsi="仿宋" w:eastAsia="仿宋"/>
          <w:bCs/>
          <w:color w:val="auto"/>
          <w:sz w:val="32"/>
          <w:szCs w:val="32"/>
          <w:highlight w:val="none"/>
          <w:lang w:val="en-US" w:eastAsia="zh-CN"/>
        </w:rPr>
        <w:t>7</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lang w:eastAsia="zh-CN"/>
        </w:rPr>
        <w:t>住房保障</w:t>
      </w:r>
      <w:r>
        <w:rPr>
          <w:rFonts w:hint="eastAsia" w:ascii="仿宋" w:hAnsi="仿宋" w:eastAsia="仿宋"/>
          <w:b/>
          <w:bCs/>
          <w:color w:val="auto"/>
          <w:sz w:val="32"/>
          <w:szCs w:val="32"/>
          <w:highlight w:val="none"/>
          <w:lang w:eastAsia="zh-CN"/>
        </w:rPr>
        <w:t>支出</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eastAsia="zh-CN"/>
        </w:rPr>
        <w:t>住房改革支出</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eastAsia="zh-CN"/>
        </w:rPr>
        <w:t>住房公积金</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24.19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7"/>
          <w:color w:val="auto"/>
          <w:highlight w:val="none"/>
        </w:rPr>
      </w:pPr>
      <w:bookmarkStart w:id="50" w:name="_Toc9903"/>
      <w:bookmarkStart w:id="51" w:name="_Toc15396608"/>
      <w:bookmarkStart w:id="52" w:name="_Toc15377214"/>
      <w:r>
        <w:rPr>
          <w:rFonts w:hint="eastAsia" w:ascii="黑体" w:eastAsia="黑体"/>
          <w:b w:val="0"/>
          <w:bCs w:val="0"/>
          <w:color w:val="auto"/>
          <w:sz w:val="32"/>
          <w:szCs w:val="32"/>
          <w:highlight w:val="none"/>
        </w:rPr>
        <w:t>六、</w:t>
      </w:r>
      <w:r>
        <w:rPr>
          <w:rFonts w:hint="eastAsia" w:ascii="黑体" w:hAnsi="黑体" w:eastAsia="黑体"/>
          <w:b w:val="0"/>
          <w:bCs w:val="0"/>
          <w:color w:val="auto"/>
          <w:sz w:val="32"/>
          <w:szCs w:val="32"/>
          <w:highlight w:val="none"/>
        </w:rPr>
        <w:t>一</w:t>
      </w:r>
      <w:r>
        <w:rPr>
          <w:rStyle w:val="27"/>
          <w:rFonts w:hint="eastAsia" w:ascii="黑体" w:hAnsi="黑体" w:eastAsia="黑体"/>
          <w:b w:val="0"/>
          <w:bCs w:val="0"/>
          <w:color w:val="auto"/>
          <w:highlight w:val="none"/>
        </w:rPr>
        <w:t>般</w:t>
      </w:r>
      <w:r>
        <w:rPr>
          <w:rStyle w:val="27"/>
          <w:rFonts w:hint="eastAsia" w:ascii="黑体" w:hAnsi="黑体" w:eastAsia="黑体"/>
          <w:b w:val="0"/>
          <w:color w:val="auto"/>
          <w:highlight w:val="none"/>
        </w:rPr>
        <w:t>公共预算财政拨款基本支出决算情况说明</w:t>
      </w:r>
      <w:bookmarkEnd w:id="50"/>
      <w:bookmarkEnd w:id="51"/>
      <w:bookmarkEnd w:id="52"/>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248.30</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234.64</w:t>
      </w:r>
      <w:r>
        <w:rPr>
          <w:rFonts w:hint="eastAsia" w:ascii="仿宋" w:hAnsi="仿宋" w:eastAsia="仿宋"/>
          <w:color w:val="auto"/>
          <w:sz w:val="32"/>
          <w:szCs w:val="32"/>
          <w:highlight w:val="none"/>
        </w:rPr>
        <w:t>万元，主要包括：基本工资、津贴补贴、绩效工资、机关事业单位基本养老保险缴费、职业年金缴费、其他工资福利支出、住房公积金等。</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13.66</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邮电费、维修（护）费、福利费、其他商品和服务支出等。</w:t>
      </w:r>
    </w:p>
    <w:p>
      <w:pPr>
        <w:spacing w:line="600" w:lineRule="exact"/>
        <w:ind w:firstLine="640"/>
        <w:outlineLvl w:val="1"/>
        <w:rPr>
          <w:rStyle w:val="27"/>
          <w:rFonts w:ascii="黑体" w:hAnsi="黑体" w:eastAsia="黑体"/>
          <w:b w:val="0"/>
          <w:color w:val="auto"/>
          <w:highlight w:val="none"/>
        </w:rPr>
      </w:pPr>
      <w:bookmarkStart w:id="53" w:name="_Toc15396609"/>
      <w:bookmarkStart w:id="54" w:name="_Toc20233"/>
      <w:bookmarkStart w:id="55"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53"/>
      <w:bookmarkEnd w:id="54"/>
      <w:bookmarkEnd w:id="55"/>
    </w:p>
    <w:p>
      <w:pPr>
        <w:spacing w:line="600" w:lineRule="exact"/>
        <w:ind w:firstLine="640"/>
        <w:outlineLvl w:val="2"/>
        <w:rPr>
          <w:rFonts w:ascii="仿宋" w:hAnsi="仿宋" w:eastAsia="仿宋"/>
          <w:b/>
          <w:color w:val="auto"/>
          <w:sz w:val="32"/>
          <w:szCs w:val="32"/>
          <w:highlight w:val="none"/>
        </w:rPr>
      </w:pPr>
      <w:bookmarkStart w:id="56" w:name="_Toc15377216"/>
      <w:r>
        <w:rPr>
          <w:rFonts w:hint="eastAsia" w:ascii="仿宋" w:hAnsi="仿宋" w:eastAsia="仿宋"/>
          <w:b/>
          <w:color w:val="auto"/>
          <w:sz w:val="32"/>
          <w:szCs w:val="32"/>
          <w:highlight w:val="none"/>
        </w:rPr>
        <w:t>（一）“三公”经费财政拨款支出决算总体情况说明</w:t>
      </w:r>
      <w:bookmarkEnd w:id="56"/>
    </w:p>
    <w:p>
      <w:pPr>
        <w:spacing w:line="600" w:lineRule="exact"/>
        <w:ind w:firstLine="640"/>
        <w:rPr>
          <w:rFonts w:ascii="仿宋" w:hAnsi="仿宋" w:eastAsia="仿宋"/>
          <w:b/>
          <w:color w:val="auto"/>
          <w:sz w:val="32"/>
          <w:szCs w:val="32"/>
          <w:highlight w:val="yellow"/>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，预算也为</w:t>
      </w:r>
      <w:r>
        <w:rPr>
          <w:rFonts w:hint="eastAsia" w:ascii="仿宋" w:hAnsi="仿宋" w:eastAsia="仿宋"/>
          <w:color w:val="auto"/>
          <w:sz w:val="32"/>
          <w:szCs w:val="32"/>
          <w:highlight w:val="none"/>
          <w:lang w:val="en-US" w:eastAsia="zh-CN"/>
        </w:rPr>
        <w:t>0万元</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7" w:name="_Toc15377217"/>
      <w:r>
        <w:rPr>
          <w:rFonts w:hint="eastAsia" w:ascii="仿宋" w:hAnsi="仿宋" w:eastAsia="仿宋"/>
          <w:b/>
          <w:color w:val="auto"/>
          <w:sz w:val="32"/>
          <w:szCs w:val="32"/>
          <w:highlight w:val="none"/>
        </w:rPr>
        <w:t>（二）“三公”经费财政拨款支出决算具体情况说明</w:t>
      </w:r>
      <w:bookmarkEnd w:id="5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5"/>
        <w:rPr>
          <w:rFonts w:hint="eastAsia"/>
          <w:lang w:eastAsia="zh-CN"/>
        </w:rPr>
      </w:pPr>
      <w:r>
        <w:rPr>
          <w:rFonts w:hint="eastAsia"/>
          <w:lang w:eastAsia="zh-CN"/>
        </w:rPr>
        <w:drawing>
          <wp:inline distT="0" distB="0" distL="114300" distR="114300">
            <wp:extent cx="5080000" cy="3810000"/>
            <wp:effectExtent l="4445" t="4445"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hint="eastAsia" w:ascii="仿宋" w:hAnsi="仿宋" w:eastAsia="仿宋"/>
          <w:b w:val="0"/>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b w:val="0"/>
          <w:bCs w:val="0"/>
          <w:color w:val="auto"/>
          <w:sz w:val="32"/>
          <w:szCs w:val="32"/>
          <w:highlight w:val="none"/>
        </w:rPr>
        <w:t>完成预算</w:t>
      </w:r>
      <w:r>
        <w:rPr>
          <w:rFonts w:hint="eastAsia" w:ascii="仿宋" w:hAnsi="仿宋" w:eastAsia="仿宋"/>
          <w:b w:val="0"/>
          <w:bCs w:val="0"/>
          <w:color w:val="auto"/>
          <w:sz w:val="32"/>
          <w:szCs w:val="32"/>
          <w:highlight w:val="none"/>
          <w:lang w:val="en-US" w:eastAsia="zh-CN"/>
        </w:rPr>
        <w:t>0</w:t>
      </w:r>
      <w:r>
        <w:rPr>
          <w:rFonts w:hint="eastAsia" w:ascii="仿宋" w:hAnsi="仿宋" w:eastAsia="仿宋"/>
          <w:b w:val="0"/>
          <w:bCs w:val="0"/>
          <w:color w:val="auto"/>
          <w:sz w:val="32"/>
          <w:szCs w:val="32"/>
          <w:highlight w:val="none"/>
        </w:rPr>
        <w:t>%。</w:t>
      </w:r>
      <w:r>
        <w:rPr>
          <w:rFonts w:hint="eastAsia" w:ascii="仿宋" w:hAnsi="仿宋" w:eastAsia="仿宋"/>
          <w:color w:val="auto"/>
          <w:sz w:val="32"/>
          <w:szCs w:val="32"/>
          <w:highlight w:val="none"/>
        </w:rPr>
        <w:t>全年安排因公出国（境）团组</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次，出国（境）</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人。因公出国（境）支出决算比20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年增加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b w:val="0"/>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b w:val="0"/>
          <w:bCs w:val="0"/>
          <w:color w:val="auto"/>
          <w:sz w:val="32"/>
          <w:szCs w:val="32"/>
          <w:highlight w:val="none"/>
        </w:rPr>
        <w:t>完成预算</w:t>
      </w:r>
      <w:r>
        <w:rPr>
          <w:rFonts w:hint="eastAsia" w:ascii="仿宋" w:hAnsi="仿宋" w:eastAsia="仿宋"/>
          <w:b w:val="0"/>
          <w:bCs w:val="0"/>
          <w:color w:val="auto"/>
          <w:sz w:val="32"/>
          <w:szCs w:val="32"/>
          <w:highlight w:val="none"/>
          <w:lang w:val="en-US" w:eastAsia="zh-CN"/>
        </w:rPr>
        <w:t>0</w:t>
      </w:r>
      <w:r>
        <w:rPr>
          <w:rFonts w:hint="eastAsia" w:ascii="仿宋" w:hAnsi="仿宋" w:eastAsia="仿宋"/>
          <w:b w:val="0"/>
          <w:bCs w:val="0"/>
          <w:color w:val="auto"/>
          <w:sz w:val="32"/>
          <w:szCs w:val="32"/>
          <w:highlight w:val="none"/>
        </w:rPr>
        <w:t>%。</w:t>
      </w:r>
      <w:r>
        <w:rPr>
          <w:rFonts w:hint="eastAsia" w:ascii="仿宋" w:hAnsi="仿宋" w:eastAsia="仿宋"/>
          <w:color w:val="auto"/>
          <w:sz w:val="32"/>
          <w:szCs w:val="32"/>
          <w:highlight w:val="none"/>
        </w:rPr>
        <w:t>公务用车购置及运行维护费支出决算比20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年增加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b w:val="0"/>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万元。全年按规定更新购置公务用车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辆，其中：轿车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辆、金额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万元，越野车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辆、金额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万元，载客汽车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辆、金额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万元。截至20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年12月底，单位共有公务用车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辆，其中：轿车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辆、越野车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辆、载客汽车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hint="eastAsia" w:ascii="仿宋" w:hAnsi="仿宋" w:eastAsia="仿宋"/>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b w:val="0"/>
          <w:bCs w:val="0"/>
          <w:color w:val="auto"/>
          <w:sz w:val="32"/>
          <w:szCs w:val="32"/>
          <w:highlight w:val="none"/>
        </w:rPr>
        <w:t>完成预算</w:t>
      </w:r>
      <w:r>
        <w:rPr>
          <w:rFonts w:hint="eastAsia" w:ascii="仿宋" w:hAnsi="仿宋" w:eastAsia="仿宋"/>
          <w:b w:val="0"/>
          <w:bCs w:val="0"/>
          <w:color w:val="auto"/>
          <w:sz w:val="32"/>
          <w:szCs w:val="32"/>
          <w:highlight w:val="none"/>
          <w:lang w:val="en-US" w:eastAsia="zh-CN"/>
        </w:rPr>
        <w:t>0</w:t>
      </w:r>
      <w:r>
        <w:rPr>
          <w:rFonts w:hint="eastAsia" w:ascii="仿宋" w:hAnsi="仿宋" w:eastAsia="仿宋"/>
          <w:b w:val="0"/>
          <w:bCs w:val="0"/>
          <w:color w:val="auto"/>
          <w:sz w:val="32"/>
          <w:szCs w:val="32"/>
          <w:highlight w:val="none"/>
        </w:rPr>
        <w:t>%。</w:t>
      </w:r>
      <w:r>
        <w:rPr>
          <w:rFonts w:hint="eastAsia" w:ascii="仿宋" w:hAnsi="仿宋" w:eastAsia="仿宋"/>
          <w:color w:val="auto"/>
          <w:sz w:val="32"/>
          <w:szCs w:val="32"/>
          <w:highlight w:val="none"/>
        </w:rPr>
        <w:t>公务接待费支出决算比20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年增加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bookmarkStart w:id="58" w:name="_Toc15377218"/>
      <w:bookmarkStart w:id="59" w:name="_Toc15396610"/>
    </w:p>
    <w:p>
      <w:pPr>
        <w:spacing w:line="600" w:lineRule="exact"/>
        <w:ind w:firstLine="640"/>
        <w:outlineLvl w:val="1"/>
        <w:rPr>
          <w:rStyle w:val="27"/>
          <w:rFonts w:ascii="黑体" w:hAnsi="黑体" w:eastAsia="黑体"/>
          <w:color w:val="auto"/>
          <w:highlight w:val="none"/>
        </w:rPr>
      </w:pPr>
      <w:bookmarkStart w:id="60" w:name="_Toc7742"/>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58"/>
      <w:bookmarkEnd w:id="59"/>
      <w:bookmarkEnd w:id="60"/>
    </w:p>
    <w:p>
      <w:pPr>
        <w:spacing w:line="600" w:lineRule="exact"/>
        <w:ind w:firstLine="640"/>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年政府性基金预算</w:t>
      </w:r>
      <w:r>
        <w:rPr>
          <w:rFonts w:hint="eastAsia" w:ascii="仿宋" w:hAnsi="仿宋" w:eastAsia="仿宋"/>
          <w:color w:val="auto"/>
          <w:sz w:val="32"/>
          <w:szCs w:val="32"/>
          <w:highlight w:val="none"/>
          <w:lang w:eastAsia="zh-CN"/>
        </w:rPr>
        <w:t>财政</w:t>
      </w:r>
      <w:r>
        <w:rPr>
          <w:rFonts w:hint="eastAsia" w:ascii="仿宋" w:hAnsi="仿宋" w:eastAsia="仿宋"/>
          <w:color w:val="auto"/>
          <w:sz w:val="32"/>
          <w:szCs w:val="32"/>
          <w:highlight w:val="none"/>
        </w:rPr>
        <w:t>拨款支出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numPr>
          <w:ilvl w:val="0"/>
          <w:numId w:val="2"/>
        </w:numPr>
        <w:spacing w:line="600" w:lineRule="exact"/>
        <w:ind w:firstLine="640"/>
        <w:outlineLvl w:val="1"/>
        <w:rPr>
          <w:rStyle w:val="27"/>
          <w:rFonts w:ascii="黑体" w:hAnsi="黑体" w:eastAsia="黑体"/>
          <w:b w:val="0"/>
          <w:color w:val="auto"/>
          <w:highlight w:val="none"/>
        </w:rPr>
      </w:pPr>
      <w:bookmarkStart w:id="61" w:name="_Toc15396611"/>
      <w:bookmarkStart w:id="62" w:name="_Toc15377219"/>
      <w:bookmarkStart w:id="63" w:name="_Toc11202"/>
      <w:r>
        <w:rPr>
          <w:rStyle w:val="27"/>
          <w:rFonts w:hint="eastAsia" w:ascii="黑体" w:hAnsi="黑体" w:eastAsia="黑体"/>
          <w:b w:val="0"/>
          <w:color w:val="auto"/>
          <w:highlight w:val="none"/>
        </w:rPr>
        <w:t>国有资本经营预算支出决算情况说明</w:t>
      </w:r>
      <w:bookmarkEnd w:id="61"/>
      <w:bookmarkEnd w:id="62"/>
      <w:bookmarkEnd w:id="63"/>
    </w:p>
    <w:p>
      <w:pPr>
        <w:spacing w:line="600" w:lineRule="exact"/>
        <w:ind w:firstLine="640"/>
        <w:jc w:val="left"/>
        <w:outlineLvl w:val="9"/>
        <w:rPr>
          <w:rFonts w:hint="eastAsia" w:ascii="仿宋" w:hAnsi="仿宋" w:eastAsia="仿宋" w:cs="Times New Roman"/>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年国有资本经营预算</w:t>
      </w:r>
      <w:r>
        <w:rPr>
          <w:rFonts w:hint="eastAsia" w:ascii="仿宋" w:hAnsi="仿宋" w:eastAsia="仿宋"/>
          <w:color w:val="auto"/>
          <w:sz w:val="32"/>
          <w:szCs w:val="32"/>
          <w:highlight w:val="none"/>
          <w:lang w:eastAsia="zh-CN"/>
        </w:rPr>
        <w:t>财政</w:t>
      </w:r>
      <w:r>
        <w:rPr>
          <w:rFonts w:hint="eastAsia" w:ascii="仿宋" w:hAnsi="仿宋" w:eastAsia="仿宋"/>
          <w:color w:val="auto"/>
          <w:sz w:val="32"/>
          <w:szCs w:val="32"/>
          <w:highlight w:val="none"/>
        </w:rPr>
        <w:t>拨款支出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numPr>
          <w:ilvl w:val="0"/>
          <w:numId w:val="2"/>
        </w:numPr>
        <w:spacing w:line="600" w:lineRule="exact"/>
        <w:ind w:firstLine="640"/>
        <w:outlineLvl w:val="1"/>
        <w:rPr>
          <w:rStyle w:val="27"/>
          <w:rFonts w:hint="eastAsia" w:ascii="黑体" w:hAnsi="黑体" w:eastAsia="黑体"/>
          <w:b w:val="0"/>
          <w:color w:val="auto"/>
          <w:highlight w:val="none"/>
        </w:rPr>
      </w:pPr>
      <w:bookmarkStart w:id="64" w:name="_Toc22011"/>
      <w:bookmarkStart w:id="65" w:name="_Toc15377221"/>
      <w:bookmarkStart w:id="66" w:name="_Toc15396612"/>
      <w:r>
        <w:rPr>
          <w:rStyle w:val="27"/>
          <w:rFonts w:hint="eastAsia" w:ascii="黑体" w:hAnsi="黑体" w:eastAsia="黑体"/>
          <w:b w:val="0"/>
          <w:color w:val="auto"/>
          <w:highlight w:val="none"/>
        </w:rPr>
        <w:t>其他重要事项的情况说明</w:t>
      </w:r>
      <w:bookmarkEnd w:id="64"/>
      <w:bookmarkEnd w:id="65"/>
      <w:bookmarkEnd w:id="66"/>
    </w:p>
    <w:p>
      <w:pPr>
        <w:spacing w:line="600" w:lineRule="exact"/>
        <w:ind w:firstLine="642" w:firstLineChars="200"/>
        <w:outlineLvl w:val="2"/>
        <w:rPr>
          <w:rFonts w:ascii="仿宋" w:hAnsi="仿宋" w:eastAsia="仿宋"/>
          <w:color w:val="auto"/>
          <w:sz w:val="32"/>
          <w:szCs w:val="32"/>
          <w:highlight w:val="none"/>
        </w:rPr>
      </w:pPr>
      <w:bookmarkStart w:id="67" w:name="_Toc15377222"/>
      <w:r>
        <w:rPr>
          <w:rFonts w:hint="eastAsia" w:ascii="仿宋" w:hAnsi="仿宋" w:eastAsia="仿宋"/>
          <w:b/>
          <w:color w:val="auto"/>
          <w:sz w:val="32"/>
          <w:szCs w:val="32"/>
          <w:highlight w:val="none"/>
        </w:rPr>
        <w:t>（一）机关运行经费支出情况</w:t>
      </w:r>
      <w:bookmarkEnd w:id="67"/>
    </w:p>
    <w:p>
      <w:pPr>
        <w:spacing w:line="600" w:lineRule="exact"/>
        <w:ind w:firstLine="640" w:firstLineChars="0"/>
        <w:jc w:val="left"/>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四川省商务发展事务中心</w:t>
      </w:r>
      <w:r>
        <w:rPr>
          <w:rFonts w:hint="eastAsia" w:ascii="仿宋" w:hAnsi="仿宋" w:eastAsia="仿宋"/>
          <w:color w:val="auto"/>
          <w:sz w:val="32"/>
          <w:szCs w:val="32"/>
          <w:highlight w:val="none"/>
          <w:lang w:eastAsia="zh-CN"/>
        </w:rPr>
        <w:t>为事业单位，无机关运行经费</w:t>
      </w:r>
      <w:r>
        <w:rPr>
          <w:rFonts w:hint="eastAsia" w:ascii="仿宋" w:hAnsi="仿宋" w:eastAsia="仿宋"/>
          <w:color w:val="auto"/>
          <w:sz w:val="32"/>
          <w:szCs w:val="32"/>
          <w:highlight w:val="none"/>
        </w:rPr>
        <w:t>。</w:t>
      </w:r>
    </w:p>
    <w:p>
      <w:pPr>
        <w:autoSpaceDE/>
        <w:autoSpaceDN/>
        <w:adjustRightInd/>
        <w:spacing w:line="600" w:lineRule="exact"/>
        <w:ind w:firstLine="642" w:firstLineChars="200"/>
        <w:jc w:val="left"/>
        <w:outlineLvl w:val="9"/>
        <w:rPr>
          <w:rFonts w:ascii="仿宋" w:hAnsi="仿宋" w:eastAsia="仿宋"/>
          <w:b/>
          <w:color w:val="auto"/>
          <w:sz w:val="32"/>
          <w:szCs w:val="32"/>
          <w:highlight w:val="none"/>
        </w:rPr>
      </w:pPr>
      <w:bookmarkStart w:id="68" w:name="_Toc15377223"/>
      <w:r>
        <w:rPr>
          <w:rFonts w:hint="eastAsia" w:ascii="仿宋" w:hAnsi="仿宋" w:eastAsia="仿宋"/>
          <w:b/>
          <w:color w:val="auto"/>
          <w:sz w:val="32"/>
          <w:szCs w:val="32"/>
          <w:highlight w:val="none"/>
        </w:rPr>
        <w:t>（二）政府采购支出情况</w:t>
      </w:r>
      <w:bookmarkEnd w:id="68"/>
    </w:p>
    <w:p>
      <w:pPr>
        <w:spacing w:line="600" w:lineRule="exact"/>
        <w:ind w:firstLine="640" w:firstLineChars="0"/>
        <w:jc w:val="left"/>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年，四川省商务发展事务中心政府采购支出总额0万元。</w:t>
      </w:r>
    </w:p>
    <w:p>
      <w:pPr>
        <w:autoSpaceDE/>
        <w:autoSpaceDN/>
        <w:adjustRightInd/>
        <w:spacing w:line="600" w:lineRule="exact"/>
        <w:ind w:firstLine="642" w:firstLineChars="200"/>
        <w:jc w:val="left"/>
        <w:outlineLvl w:val="9"/>
        <w:rPr>
          <w:rFonts w:ascii="仿宋" w:hAnsi="仿宋" w:eastAsia="仿宋"/>
          <w:b/>
          <w:color w:val="auto"/>
          <w:sz w:val="32"/>
          <w:szCs w:val="32"/>
          <w:highlight w:val="none"/>
        </w:rPr>
      </w:pPr>
      <w:bookmarkStart w:id="69" w:name="_Toc15377224"/>
      <w:r>
        <w:rPr>
          <w:rFonts w:hint="eastAsia" w:ascii="仿宋" w:hAnsi="仿宋" w:eastAsia="仿宋"/>
          <w:b/>
          <w:color w:val="auto"/>
          <w:sz w:val="32"/>
          <w:szCs w:val="32"/>
          <w:highlight w:val="none"/>
        </w:rPr>
        <w:t>（三）国有资产占有使用情况</w:t>
      </w:r>
      <w:bookmarkEnd w:id="69"/>
    </w:p>
    <w:p>
      <w:pPr>
        <w:autoSpaceDE/>
        <w:autoSpaceDN/>
        <w:adjustRightInd/>
        <w:spacing w:line="600" w:lineRule="exact"/>
        <w:ind w:firstLine="640" w:firstLineChars="0"/>
        <w:jc w:val="left"/>
        <w:outlineLvl w:val="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截至20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年12月31日，四川省商务发展事务中心共有车辆0辆。单价50万元以上通用设备0台（套），单价100万元以上专用设备0台（套）。</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600" w:lineRule="exact"/>
        <w:ind w:firstLine="640" w:firstLineChars="0"/>
        <w:jc w:val="left"/>
        <w:outlineLvl w:val="9"/>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根据预算绩效管理要求，本单位</w:t>
      </w:r>
      <w:r>
        <w:rPr>
          <w:rFonts w:hint="eastAsia" w:ascii="仿宋" w:hAnsi="仿宋" w:eastAsia="仿宋" w:cs="Times New Roman"/>
          <w:color w:val="auto"/>
          <w:sz w:val="32"/>
          <w:szCs w:val="32"/>
          <w:highlight w:val="none"/>
          <w:lang w:eastAsia="zh-CN"/>
        </w:rPr>
        <w:t>在</w:t>
      </w:r>
      <w:r>
        <w:rPr>
          <w:rFonts w:hint="eastAsia" w:ascii="仿宋" w:hAnsi="仿宋" w:eastAsia="仿宋" w:cs="Times New Roman"/>
          <w:color w:val="auto"/>
          <w:sz w:val="32"/>
          <w:szCs w:val="32"/>
          <w:highlight w:val="none"/>
          <w:lang w:val="en-US" w:eastAsia="zh-CN"/>
        </w:rPr>
        <w:t>2021年度</w:t>
      </w:r>
      <w:r>
        <w:rPr>
          <w:rFonts w:hint="eastAsia" w:ascii="仿宋" w:hAnsi="仿宋" w:eastAsia="仿宋" w:cs="Times New Roman"/>
          <w:color w:val="auto"/>
          <w:sz w:val="32"/>
          <w:szCs w:val="32"/>
          <w:highlight w:val="none"/>
        </w:rPr>
        <w:t>预算编制</w:t>
      </w:r>
      <w:r>
        <w:rPr>
          <w:rFonts w:hint="eastAsia" w:ascii="仿宋" w:hAnsi="仿宋" w:eastAsia="仿宋" w:cs="Times New Roman"/>
          <w:color w:val="auto"/>
          <w:sz w:val="32"/>
          <w:szCs w:val="32"/>
          <w:highlight w:val="none"/>
          <w:lang w:eastAsia="zh-CN"/>
        </w:rPr>
        <w:t>阶段，组织对进博会走进四川</w:t>
      </w:r>
      <w:r>
        <w:rPr>
          <w:rFonts w:hint="eastAsia" w:ascii="仿宋" w:hAnsi="仿宋" w:eastAsia="仿宋" w:cs="Times New Roman"/>
          <w:color w:val="auto"/>
          <w:sz w:val="32"/>
          <w:szCs w:val="32"/>
          <w:highlight w:val="none"/>
          <w:lang w:val="en-US" w:eastAsia="zh-CN"/>
        </w:rPr>
        <w:t>1个</w:t>
      </w:r>
      <w:r>
        <w:rPr>
          <w:rFonts w:hint="eastAsia" w:ascii="仿宋" w:hAnsi="仿宋" w:eastAsia="仿宋" w:cs="Times New Roman"/>
          <w:color w:val="auto"/>
          <w:sz w:val="32"/>
          <w:szCs w:val="32"/>
          <w:highlight w:val="none"/>
          <w:lang w:eastAsia="zh-CN"/>
        </w:rPr>
        <w:t>项目开展了预算事前绩效评估，对</w:t>
      </w:r>
      <w:r>
        <w:rPr>
          <w:rFonts w:hint="eastAsia" w:ascii="仿宋" w:hAnsi="仿宋" w:eastAsia="仿宋" w:cs="Times New Roman"/>
          <w:color w:val="auto"/>
          <w:sz w:val="32"/>
          <w:szCs w:val="32"/>
          <w:highlight w:val="none"/>
          <w:lang w:val="en-US" w:eastAsia="zh-CN"/>
        </w:rPr>
        <w:t>1个</w:t>
      </w:r>
      <w:r>
        <w:rPr>
          <w:rFonts w:hint="eastAsia" w:ascii="仿宋" w:hAnsi="仿宋" w:eastAsia="仿宋" w:cs="Times New Roman"/>
          <w:color w:val="auto"/>
          <w:sz w:val="32"/>
          <w:szCs w:val="32"/>
          <w:highlight w:val="none"/>
          <w:lang w:eastAsia="zh-CN"/>
        </w:rPr>
        <w:t>项目编制了绩效目标，预算执行过程中，选取</w:t>
      </w:r>
      <w:r>
        <w:rPr>
          <w:rFonts w:hint="eastAsia" w:ascii="仿宋" w:hAnsi="仿宋" w:eastAsia="仿宋" w:cs="Times New Roman"/>
          <w:color w:val="auto"/>
          <w:sz w:val="32"/>
          <w:szCs w:val="32"/>
          <w:highlight w:val="none"/>
          <w:lang w:val="en-US" w:eastAsia="zh-CN"/>
        </w:rPr>
        <w:t>1个</w:t>
      </w:r>
      <w:r>
        <w:rPr>
          <w:rFonts w:hint="eastAsia" w:ascii="仿宋" w:hAnsi="仿宋" w:eastAsia="仿宋" w:cs="Times New Roman"/>
          <w:color w:val="auto"/>
          <w:sz w:val="32"/>
          <w:szCs w:val="32"/>
          <w:highlight w:val="none"/>
          <w:lang w:eastAsia="zh-CN"/>
        </w:rPr>
        <w:t>项目开展绩效监控，年终执行完毕后，对</w:t>
      </w:r>
      <w:r>
        <w:rPr>
          <w:rFonts w:hint="eastAsia" w:ascii="仿宋" w:hAnsi="仿宋" w:eastAsia="仿宋" w:cs="Times New Roman"/>
          <w:color w:val="auto"/>
          <w:sz w:val="32"/>
          <w:szCs w:val="32"/>
          <w:highlight w:val="none"/>
          <w:lang w:val="en-US" w:eastAsia="zh-CN"/>
        </w:rPr>
        <w:t>1个</w:t>
      </w:r>
      <w:r>
        <w:rPr>
          <w:rFonts w:hint="eastAsia" w:ascii="仿宋" w:hAnsi="仿宋" w:eastAsia="仿宋" w:cs="Times New Roman"/>
          <w:color w:val="auto"/>
          <w:sz w:val="32"/>
          <w:szCs w:val="32"/>
          <w:highlight w:val="none"/>
          <w:lang w:eastAsia="zh-CN"/>
        </w:rPr>
        <w:t>项目开展了绩效自评，</w:t>
      </w:r>
      <w:r>
        <w:rPr>
          <w:rFonts w:hint="eastAsia" w:ascii="仿宋" w:hAnsi="仿宋" w:eastAsia="仿宋" w:cs="Times New Roman"/>
          <w:color w:val="auto"/>
          <w:sz w:val="32"/>
          <w:szCs w:val="32"/>
          <w:highlight w:val="none"/>
          <w:lang w:val="en-US" w:eastAsia="zh-CN"/>
        </w:rPr>
        <w:t>2021年特定目标类部门预算项目绩效目标自评表见附件（第四部分）</w:t>
      </w:r>
      <w:r>
        <w:rPr>
          <w:rFonts w:hint="eastAsia" w:ascii="仿宋" w:hAnsi="仿宋" w:eastAsia="仿宋" w:cs="Times New Roman"/>
          <w:color w:val="auto"/>
          <w:sz w:val="32"/>
          <w:szCs w:val="32"/>
          <w:highlight w:val="none"/>
          <w:lang w:eastAsia="zh-CN"/>
        </w:rPr>
        <w:t>。</w:t>
      </w:r>
    </w:p>
    <w:p>
      <w:pPr>
        <w:autoSpaceDE/>
        <w:autoSpaceDN/>
        <w:adjustRightInd/>
        <w:spacing w:line="600" w:lineRule="exact"/>
        <w:ind w:firstLine="640" w:firstLineChars="0"/>
        <w:jc w:val="left"/>
        <w:outlineLvl w:val="9"/>
        <w:rPr>
          <w:rFonts w:hint="eastAsia" w:ascii="仿宋" w:hAnsi="仿宋" w:eastAsia="仿宋"/>
          <w:b w:val="0"/>
          <w:bCs w:val="0"/>
          <w:color w:val="auto"/>
          <w:sz w:val="32"/>
          <w:szCs w:val="32"/>
          <w:highlight w:val="none"/>
        </w:rPr>
      </w:pPr>
    </w:p>
    <w:p>
      <w:pPr>
        <w:spacing w:line="600" w:lineRule="exact"/>
        <w:ind w:firstLine="640"/>
        <w:jc w:val="left"/>
        <w:outlineLvl w:val="9"/>
        <w:rPr>
          <w:rFonts w:hint="eastAsia" w:ascii="仿宋" w:hAnsi="仿宋" w:eastAsia="仿宋"/>
          <w:color w:val="auto"/>
          <w:sz w:val="32"/>
          <w:szCs w:val="32"/>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70" w:name="_Toc15377225"/>
      <w:bookmarkStart w:id="71" w:name="_Toc21102"/>
      <w:bookmarkStart w:id="72"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70"/>
      <w:bookmarkEnd w:id="71"/>
      <w:bookmarkEnd w:id="72"/>
    </w:p>
    <w:p>
      <w:pPr>
        <w:spacing w:line="600" w:lineRule="exact"/>
        <w:jc w:val="left"/>
        <w:rPr>
          <w:rFonts w:ascii="宋体"/>
          <w:b/>
          <w:color w:val="auto"/>
          <w:sz w:val="44"/>
          <w:szCs w:val="44"/>
          <w:highlight w:val="none"/>
        </w:rPr>
      </w:pPr>
    </w:p>
    <w:p>
      <w:pPr>
        <w:pStyle w:val="24"/>
        <w:spacing w:line="560" w:lineRule="exact"/>
        <w:ind w:firstLine="640" w:firstLineChars="2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1.财政拨款收入：指单位从同级财政部门取得的财政预算资金。</w:t>
      </w:r>
    </w:p>
    <w:p>
      <w:pPr>
        <w:pStyle w:val="24"/>
        <w:spacing w:line="560" w:lineRule="exact"/>
        <w:ind w:firstLine="640" w:firstLineChars="2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2.经营收入：指事业单位在专业业务活动及其辅助活动之外开展非独立核算经营活动取得的收入。如</w:t>
      </w:r>
      <w:r>
        <w:rPr>
          <w:rFonts w:hint="eastAsia" w:ascii="仿宋" w:hAnsi="仿宋" w:eastAsia="仿宋" w:cs="Times New Roman"/>
          <w:color w:val="auto"/>
          <w:kern w:val="2"/>
          <w:sz w:val="32"/>
          <w:szCs w:val="32"/>
          <w:highlight w:val="none"/>
          <w:lang w:eastAsia="zh-CN"/>
        </w:rPr>
        <w:t>服务费、会议展览服务费、培训费</w:t>
      </w:r>
      <w:r>
        <w:rPr>
          <w:rFonts w:hint="eastAsia" w:ascii="仿宋" w:hAnsi="仿宋" w:eastAsia="仿宋" w:cs="Times New Roman"/>
          <w:color w:val="auto"/>
          <w:kern w:val="2"/>
          <w:sz w:val="32"/>
          <w:szCs w:val="32"/>
          <w:highlight w:val="none"/>
        </w:rPr>
        <w:t>等。</w:t>
      </w:r>
    </w:p>
    <w:p>
      <w:pPr>
        <w:pStyle w:val="24"/>
        <w:spacing w:line="560" w:lineRule="exact"/>
        <w:ind w:firstLine="640" w:firstLineChars="2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3.其他收入：指单位取得的除上述收入以外的各项收入。主要是</w:t>
      </w:r>
      <w:r>
        <w:rPr>
          <w:rFonts w:hint="eastAsia" w:ascii="仿宋" w:hAnsi="仿宋" w:eastAsia="仿宋" w:cs="Times New Roman"/>
          <w:color w:val="auto"/>
          <w:kern w:val="2"/>
          <w:sz w:val="32"/>
          <w:szCs w:val="32"/>
          <w:highlight w:val="none"/>
          <w:lang w:eastAsia="zh-CN"/>
        </w:rPr>
        <w:t>房屋租赁收入、利息收入、股权投资分红收入</w:t>
      </w:r>
      <w:r>
        <w:rPr>
          <w:rFonts w:hint="eastAsia" w:ascii="仿宋" w:hAnsi="仿宋" w:eastAsia="仿宋" w:cs="Times New Roman"/>
          <w:color w:val="auto"/>
          <w:kern w:val="2"/>
          <w:sz w:val="32"/>
          <w:szCs w:val="32"/>
          <w:highlight w:val="none"/>
        </w:rPr>
        <w:t>等。</w:t>
      </w:r>
    </w:p>
    <w:p>
      <w:pPr>
        <w:pStyle w:val="24"/>
        <w:spacing w:line="560" w:lineRule="exact"/>
        <w:ind w:firstLine="640" w:firstLineChars="2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4.年初结转和结余：指以前年度尚未完成、结转到本年按有关规定继续使用的资金</w:t>
      </w:r>
      <w:bookmarkStart w:id="106" w:name="_GoBack"/>
      <w:bookmarkEnd w:id="106"/>
      <w:r>
        <w:rPr>
          <w:rFonts w:hint="eastAsia" w:ascii="仿宋" w:hAnsi="仿宋" w:eastAsia="仿宋" w:cs="Times New Roman"/>
          <w:color w:val="auto"/>
          <w:kern w:val="2"/>
          <w:sz w:val="32"/>
          <w:szCs w:val="32"/>
          <w:highlight w:val="none"/>
          <w:lang w:eastAsia="zh-CN"/>
        </w:rPr>
        <w:t>，中心仅限于上年经营结余</w:t>
      </w:r>
      <w:r>
        <w:rPr>
          <w:rFonts w:hint="eastAsia" w:ascii="仿宋" w:hAnsi="仿宋" w:eastAsia="仿宋" w:cs="Times New Roman"/>
          <w:color w:val="auto"/>
          <w:kern w:val="2"/>
          <w:sz w:val="32"/>
          <w:szCs w:val="32"/>
          <w:highlight w:val="none"/>
        </w:rPr>
        <w:t xml:space="preserve">。 </w:t>
      </w:r>
    </w:p>
    <w:p>
      <w:pPr>
        <w:pStyle w:val="24"/>
        <w:spacing w:line="560" w:lineRule="exact"/>
        <w:ind w:firstLine="640" w:firstLineChars="2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5.年末结转和结余：指单位按有关规定结转到下年或以后年度继续使用的资金</w:t>
      </w:r>
      <w:r>
        <w:rPr>
          <w:rFonts w:hint="eastAsia" w:ascii="仿宋" w:hAnsi="仿宋" w:eastAsia="仿宋" w:cs="Times New Roman"/>
          <w:color w:val="auto"/>
          <w:kern w:val="2"/>
          <w:sz w:val="32"/>
          <w:szCs w:val="32"/>
          <w:highlight w:val="none"/>
          <w:lang w:eastAsia="zh-CN"/>
        </w:rPr>
        <w:t>，中心仅限于本年累计经营结余。</w:t>
      </w:r>
      <w:r>
        <w:rPr>
          <w:rFonts w:hint="eastAsia" w:ascii="仿宋" w:hAnsi="仿宋" w:eastAsia="仿宋" w:cs="Times New Roman"/>
          <w:color w:val="auto"/>
          <w:kern w:val="2"/>
          <w:sz w:val="32"/>
          <w:szCs w:val="32"/>
          <w:highlight w:val="none"/>
        </w:rPr>
        <w:t xml:space="preserve"> </w:t>
      </w:r>
    </w:p>
    <w:p>
      <w:pPr>
        <w:pStyle w:val="24"/>
        <w:spacing w:line="560" w:lineRule="exact"/>
        <w:ind w:firstLine="640" w:firstLineChars="2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6. 一般公共服务（类）</w:t>
      </w:r>
      <w:r>
        <w:rPr>
          <w:rFonts w:hint="eastAsia" w:ascii="仿宋" w:hAnsi="仿宋" w:eastAsia="仿宋" w:cs="Times New Roman"/>
          <w:color w:val="auto"/>
          <w:kern w:val="2"/>
          <w:sz w:val="32"/>
          <w:szCs w:val="32"/>
          <w:highlight w:val="none"/>
          <w:lang w:eastAsia="zh-CN"/>
        </w:rPr>
        <w:t>商贸事务</w:t>
      </w:r>
      <w:r>
        <w:rPr>
          <w:rFonts w:hint="eastAsia" w:ascii="仿宋" w:hAnsi="仿宋" w:eastAsia="仿宋" w:cs="Times New Roman"/>
          <w:color w:val="auto"/>
          <w:kern w:val="2"/>
          <w:sz w:val="32"/>
          <w:szCs w:val="32"/>
          <w:highlight w:val="none"/>
        </w:rPr>
        <w:t>（款）</w:t>
      </w:r>
      <w:r>
        <w:rPr>
          <w:rFonts w:hint="eastAsia" w:ascii="仿宋" w:hAnsi="仿宋" w:eastAsia="仿宋" w:cs="Times New Roman"/>
          <w:color w:val="auto"/>
          <w:kern w:val="2"/>
          <w:sz w:val="32"/>
          <w:szCs w:val="32"/>
          <w:highlight w:val="none"/>
          <w:lang w:eastAsia="zh-CN"/>
        </w:rPr>
        <w:t>事业运行</w:t>
      </w:r>
      <w:r>
        <w:rPr>
          <w:rFonts w:hint="eastAsia" w:ascii="仿宋" w:hAnsi="仿宋" w:eastAsia="仿宋" w:cs="Times New Roman"/>
          <w:color w:val="auto"/>
          <w:kern w:val="2"/>
          <w:sz w:val="32"/>
          <w:szCs w:val="32"/>
          <w:highlight w:val="none"/>
        </w:rPr>
        <w:t>（项）：指</w:t>
      </w:r>
      <w:r>
        <w:rPr>
          <w:rFonts w:hint="eastAsia" w:ascii="仿宋" w:hAnsi="仿宋" w:eastAsia="仿宋" w:cs="Times New Roman"/>
          <w:color w:val="auto"/>
          <w:kern w:val="2"/>
          <w:sz w:val="32"/>
          <w:szCs w:val="32"/>
          <w:highlight w:val="none"/>
          <w:lang w:eastAsia="zh-CN"/>
        </w:rPr>
        <w:t>中心的援藏援彝干部人才补助。</w:t>
      </w:r>
    </w:p>
    <w:p>
      <w:pPr>
        <w:pStyle w:val="24"/>
        <w:spacing w:line="560" w:lineRule="exact"/>
        <w:ind w:firstLine="640" w:firstLineChars="2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7.一般公共服务（类）</w:t>
      </w:r>
      <w:r>
        <w:rPr>
          <w:rFonts w:hint="eastAsia" w:ascii="仿宋" w:hAnsi="仿宋" w:eastAsia="仿宋" w:cs="Times New Roman"/>
          <w:color w:val="auto"/>
          <w:kern w:val="2"/>
          <w:sz w:val="32"/>
          <w:szCs w:val="32"/>
          <w:highlight w:val="none"/>
          <w:lang w:eastAsia="zh-CN"/>
        </w:rPr>
        <w:t>商贸事务</w:t>
      </w:r>
      <w:r>
        <w:rPr>
          <w:rFonts w:hint="eastAsia" w:ascii="仿宋" w:hAnsi="仿宋" w:eastAsia="仿宋" w:cs="Times New Roman"/>
          <w:color w:val="auto"/>
          <w:kern w:val="2"/>
          <w:sz w:val="32"/>
          <w:szCs w:val="32"/>
          <w:highlight w:val="none"/>
        </w:rPr>
        <w:t>（款）</w:t>
      </w:r>
      <w:r>
        <w:rPr>
          <w:rFonts w:hint="eastAsia" w:ascii="仿宋" w:hAnsi="仿宋" w:eastAsia="仿宋" w:cs="Times New Roman"/>
          <w:color w:val="auto"/>
          <w:kern w:val="2"/>
          <w:sz w:val="32"/>
          <w:szCs w:val="32"/>
          <w:highlight w:val="none"/>
          <w:lang w:eastAsia="zh-CN"/>
        </w:rPr>
        <w:t>其他商贸事务支出</w:t>
      </w:r>
      <w:r>
        <w:rPr>
          <w:rFonts w:hint="eastAsia" w:ascii="仿宋" w:hAnsi="仿宋" w:eastAsia="仿宋" w:cs="Times New Roman"/>
          <w:color w:val="auto"/>
          <w:kern w:val="2"/>
          <w:sz w:val="32"/>
          <w:szCs w:val="32"/>
          <w:highlight w:val="none"/>
        </w:rPr>
        <w:t>（项）：指</w:t>
      </w:r>
      <w:r>
        <w:rPr>
          <w:rFonts w:hint="eastAsia" w:ascii="仿宋" w:hAnsi="仿宋" w:eastAsia="仿宋" w:cs="Times New Roman"/>
          <w:color w:val="auto"/>
          <w:kern w:val="2"/>
          <w:sz w:val="32"/>
          <w:szCs w:val="32"/>
          <w:highlight w:val="none"/>
          <w:lang w:eastAsia="zh-CN"/>
        </w:rPr>
        <w:t>中心的基本支出及项目支出。</w:t>
      </w:r>
    </w:p>
    <w:p>
      <w:pPr>
        <w:pStyle w:val="24"/>
        <w:spacing w:line="560" w:lineRule="exact"/>
        <w:ind w:firstLine="640" w:firstLineChars="2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8</w:t>
      </w:r>
      <w:r>
        <w:rPr>
          <w:rFonts w:hint="eastAsia" w:ascii="仿宋" w:hAnsi="仿宋" w:eastAsia="仿宋" w:cs="Times New Roman"/>
          <w:color w:val="auto"/>
          <w:kern w:val="2"/>
          <w:sz w:val="32"/>
          <w:szCs w:val="32"/>
          <w:highlight w:val="none"/>
          <w:lang w:eastAsia="zh-CN"/>
        </w:rPr>
        <w:t>.</w:t>
      </w:r>
      <w:r>
        <w:rPr>
          <w:rFonts w:hint="eastAsia" w:ascii="仿宋" w:hAnsi="仿宋" w:eastAsia="仿宋" w:cs="Times New Roman"/>
          <w:color w:val="auto"/>
          <w:kern w:val="2"/>
          <w:sz w:val="32"/>
          <w:szCs w:val="32"/>
          <w:highlight w:val="none"/>
        </w:rPr>
        <w:t>教育（类）</w:t>
      </w:r>
      <w:r>
        <w:rPr>
          <w:rFonts w:hint="eastAsia" w:ascii="仿宋" w:hAnsi="仿宋" w:eastAsia="仿宋" w:cs="Times New Roman"/>
          <w:color w:val="auto"/>
          <w:kern w:val="2"/>
          <w:sz w:val="32"/>
          <w:szCs w:val="32"/>
          <w:highlight w:val="none"/>
          <w:lang w:eastAsia="zh-CN"/>
        </w:rPr>
        <w:t>进修及培训</w:t>
      </w:r>
      <w:r>
        <w:rPr>
          <w:rFonts w:hint="eastAsia" w:ascii="仿宋" w:hAnsi="仿宋" w:eastAsia="仿宋" w:cs="Times New Roman"/>
          <w:color w:val="auto"/>
          <w:kern w:val="2"/>
          <w:sz w:val="32"/>
          <w:szCs w:val="32"/>
          <w:highlight w:val="none"/>
        </w:rPr>
        <w:t>（款）</w:t>
      </w:r>
      <w:r>
        <w:rPr>
          <w:rFonts w:hint="eastAsia" w:ascii="仿宋" w:hAnsi="仿宋" w:eastAsia="仿宋" w:cs="Times New Roman"/>
          <w:color w:val="auto"/>
          <w:kern w:val="2"/>
          <w:sz w:val="32"/>
          <w:szCs w:val="32"/>
          <w:highlight w:val="none"/>
          <w:lang w:eastAsia="zh-CN"/>
        </w:rPr>
        <w:t>培训支出</w:t>
      </w:r>
      <w:r>
        <w:rPr>
          <w:rFonts w:hint="eastAsia" w:ascii="仿宋" w:hAnsi="仿宋" w:eastAsia="仿宋" w:cs="Times New Roman"/>
          <w:color w:val="auto"/>
          <w:kern w:val="2"/>
          <w:sz w:val="32"/>
          <w:szCs w:val="32"/>
          <w:highlight w:val="none"/>
        </w:rPr>
        <w:t>（项）：指</w:t>
      </w:r>
      <w:r>
        <w:rPr>
          <w:rFonts w:hint="eastAsia" w:ascii="仿宋" w:hAnsi="仿宋" w:eastAsia="仿宋" w:cs="Times New Roman"/>
          <w:color w:val="auto"/>
          <w:kern w:val="2"/>
          <w:sz w:val="32"/>
          <w:szCs w:val="32"/>
          <w:highlight w:val="none"/>
          <w:lang w:eastAsia="zh-CN"/>
        </w:rPr>
        <w:t>中</w:t>
      </w:r>
      <w:r>
        <w:rPr>
          <w:rFonts w:hint="eastAsia" w:ascii="仿宋" w:hAnsi="仿宋" w:eastAsia="仿宋" w:cs="Times New Roman"/>
          <w:color w:val="auto"/>
          <w:kern w:val="2"/>
          <w:sz w:val="32"/>
          <w:szCs w:val="32"/>
          <w:highlight w:val="none"/>
          <w:lang w:val="en-US" w:eastAsia="zh-CN"/>
        </w:rPr>
        <w:t>心</w:t>
      </w:r>
      <w:r>
        <w:rPr>
          <w:rFonts w:hint="eastAsia" w:ascii="仿宋" w:hAnsi="仿宋" w:eastAsia="仿宋" w:cs="Times New Roman"/>
          <w:color w:val="auto"/>
          <w:kern w:val="2"/>
          <w:sz w:val="32"/>
          <w:szCs w:val="32"/>
          <w:highlight w:val="none"/>
          <w:lang w:eastAsia="zh-CN"/>
        </w:rPr>
        <w:t>安排的培训支出</w:t>
      </w:r>
      <w:r>
        <w:rPr>
          <w:rFonts w:hint="eastAsia" w:ascii="仿宋" w:hAnsi="仿宋" w:eastAsia="仿宋" w:cs="Times New Roman"/>
          <w:color w:val="auto"/>
          <w:kern w:val="2"/>
          <w:sz w:val="32"/>
          <w:szCs w:val="32"/>
          <w:highlight w:val="none"/>
        </w:rPr>
        <w:t>。</w:t>
      </w:r>
    </w:p>
    <w:p>
      <w:pPr>
        <w:pStyle w:val="24"/>
        <w:spacing w:line="560" w:lineRule="exact"/>
        <w:ind w:firstLine="640" w:firstLineChars="200"/>
        <w:rPr>
          <w:rFonts w:hint="eastAsia" w:ascii="仿宋" w:hAnsi="仿宋" w:eastAsia="仿宋" w:cs="Times New Roman"/>
          <w:color w:val="auto"/>
          <w:kern w:val="2"/>
          <w:sz w:val="32"/>
          <w:szCs w:val="32"/>
          <w:highlight w:val="none"/>
          <w:lang w:eastAsia="zh-CN"/>
        </w:rPr>
      </w:pPr>
      <w:r>
        <w:rPr>
          <w:rFonts w:hint="eastAsia" w:ascii="仿宋" w:hAnsi="仿宋" w:eastAsia="仿宋" w:cs="Times New Roman"/>
          <w:color w:val="auto"/>
          <w:kern w:val="2"/>
          <w:sz w:val="32"/>
          <w:szCs w:val="32"/>
          <w:highlight w:val="none"/>
        </w:rPr>
        <w:t>9.社会保障和就业（类）</w:t>
      </w:r>
      <w:r>
        <w:rPr>
          <w:rFonts w:hint="eastAsia" w:ascii="仿宋" w:hAnsi="仿宋" w:eastAsia="仿宋" w:cs="Times New Roman"/>
          <w:color w:val="auto"/>
          <w:kern w:val="2"/>
          <w:sz w:val="32"/>
          <w:szCs w:val="32"/>
          <w:highlight w:val="none"/>
          <w:lang w:eastAsia="zh-CN"/>
        </w:rPr>
        <w:t>行政事业单位养老支出</w:t>
      </w:r>
      <w:r>
        <w:rPr>
          <w:rFonts w:hint="eastAsia" w:ascii="仿宋" w:hAnsi="仿宋" w:eastAsia="仿宋" w:cs="Times New Roman"/>
          <w:color w:val="auto"/>
          <w:kern w:val="2"/>
          <w:sz w:val="32"/>
          <w:szCs w:val="32"/>
          <w:highlight w:val="none"/>
        </w:rPr>
        <w:t>（款）</w:t>
      </w:r>
      <w:r>
        <w:rPr>
          <w:rFonts w:hint="eastAsia" w:ascii="仿宋" w:hAnsi="仿宋" w:eastAsia="仿宋" w:cs="Times New Roman"/>
          <w:color w:val="auto"/>
          <w:kern w:val="2"/>
          <w:sz w:val="32"/>
          <w:szCs w:val="32"/>
          <w:highlight w:val="none"/>
          <w:lang w:eastAsia="zh-CN"/>
        </w:rPr>
        <w:t>机关事业单位基本养老保险缴费支出</w:t>
      </w:r>
      <w:r>
        <w:rPr>
          <w:rFonts w:hint="eastAsia" w:ascii="仿宋" w:hAnsi="仿宋" w:eastAsia="仿宋" w:cs="Times New Roman"/>
          <w:color w:val="auto"/>
          <w:kern w:val="2"/>
          <w:sz w:val="32"/>
          <w:szCs w:val="32"/>
          <w:highlight w:val="none"/>
        </w:rPr>
        <w:t>（项）：指</w:t>
      </w:r>
      <w:r>
        <w:rPr>
          <w:rFonts w:hint="eastAsia" w:ascii="仿宋" w:hAnsi="仿宋" w:eastAsia="仿宋" w:cs="Times New Roman"/>
          <w:color w:val="auto"/>
          <w:kern w:val="2"/>
          <w:sz w:val="32"/>
          <w:szCs w:val="32"/>
          <w:highlight w:val="none"/>
          <w:lang w:eastAsia="zh-CN"/>
        </w:rPr>
        <w:t>实施养老保险制度由中心实际缴纳的养老保险支出。</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10.社会保障和就业（类）</w:t>
      </w:r>
      <w:r>
        <w:rPr>
          <w:rFonts w:hint="eastAsia" w:ascii="仿宋" w:hAnsi="仿宋" w:eastAsia="仿宋"/>
          <w:color w:val="auto"/>
          <w:sz w:val="32"/>
          <w:szCs w:val="32"/>
          <w:highlight w:val="none"/>
          <w:lang w:eastAsia="zh-CN"/>
        </w:rPr>
        <w:t>行政事业单位养老支出</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机关事业单位职业年金缴费支出</w:t>
      </w:r>
      <w:r>
        <w:rPr>
          <w:rFonts w:hint="eastAsia" w:ascii="仿宋" w:hAnsi="仿宋" w:eastAsia="仿宋"/>
          <w:color w:val="auto"/>
          <w:sz w:val="32"/>
          <w:szCs w:val="32"/>
          <w:highlight w:val="none"/>
        </w:rPr>
        <w:t>（项）：指</w:t>
      </w:r>
      <w:r>
        <w:rPr>
          <w:rFonts w:hint="eastAsia" w:ascii="仿宋" w:hAnsi="仿宋" w:eastAsia="仿宋"/>
          <w:color w:val="auto"/>
          <w:sz w:val="32"/>
          <w:szCs w:val="32"/>
          <w:highlight w:val="none"/>
          <w:lang w:eastAsia="zh-CN"/>
        </w:rPr>
        <w:t>由中心实际缴纳的职业年金支出。</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11.商业服务业</w:t>
      </w:r>
      <w:r>
        <w:rPr>
          <w:rFonts w:hint="eastAsia" w:ascii="仿宋" w:hAnsi="仿宋" w:eastAsia="仿宋"/>
          <w:color w:val="auto"/>
          <w:sz w:val="32"/>
          <w:szCs w:val="32"/>
          <w:highlight w:val="none"/>
          <w:lang w:eastAsia="zh-CN"/>
        </w:rPr>
        <w:t>等支出</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涉外发展服务支出</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其他涉外发展服务支出</w:t>
      </w:r>
      <w:r>
        <w:rPr>
          <w:rFonts w:hint="eastAsia" w:ascii="仿宋" w:hAnsi="仿宋" w:eastAsia="仿宋"/>
          <w:color w:val="auto"/>
          <w:sz w:val="32"/>
          <w:szCs w:val="32"/>
          <w:highlight w:val="none"/>
        </w:rPr>
        <w:t>（项）：</w:t>
      </w:r>
      <w:r>
        <w:rPr>
          <w:rFonts w:hint="eastAsia" w:ascii="仿宋" w:hAnsi="仿宋" w:eastAsia="仿宋"/>
          <w:color w:val="auto"/>
          <w:sz w:val="32"/>
          <w:szCs w:val="32"/>
          <w:highlight w:val="none"/>
          <w:lang w:eastAsia="zh-CN"/>
        </w:rPr>
        <w:t>指进博会走进四川项目所使用的</w:t>
      </w:r>
      <w:r>
        <w:rPr>
          <w:rFonts w:hint="eastAsia" w:ascii="仿宋" w:hAnsi="仿宋" w:eastAsia="仿宋"/>
          <w:color w:val="auto"/>
          <w:sz w:val="32"/>
          <w:szCs w:val="32"/>
          <w:highlight w:val="none"/>
          <w:lang w:val="en-US" w:eastAsia="zh-CN"/>
        </w:rPr>
        <w:t>资金</w:t>
      </w:r>
      <w:r>
        <w:rPr>
          <w:rFonts w:hint="eastAsia" w:ascii="仿宋" w:hAnsi="仿宋" w:eastAsia="仿宋"/>
          <w:color w:val="auto"/>
          <w:sz w:val="32"/>
          <w:szCs w:val="32"/>
          <w:highlight w:val="none"/>
        </w:rPr>
        <w:t>。</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12.住房保障</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住房改革支出</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住房公积金</w:t>
      </w:r>
      <w:r>
        <w:rPr>
          <w:rFonts w:hint="eastAsia" w:ascii="仿宋" w:hAnsi="仿宋" w:eastAsia="仿宋"/>
          <w:color w:val="auto"/>
          <w:sz w:val="32"/>
          <w:szCs w:val="32"/>
          <w:highlight w:val="none"/>
        </w:rPr>
        <w:t>（项）：指</w:t>
      </w:r>
      <w:r>
        <w:rPr>
          <w:rFonts w:hint="eastAsia" w:ascii="仿宋" w:hAnsi="仿宋" w:eastAsia="仿宋"/>
          <w:color w:val="auto"/>
          <w:sz w:val="32"/>
          <w:szCs w:val="32"/>
          <w:highlight w:val="none"/>
          <w:lang w:eastAsia="zh-CN"/>
        </w:rPr>
        <w:t>由中心实际缴纳的住房公积金支出。</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13.基本支出：指为保障机构正常运转、完成日常工作任务而发生的人员支出和公用支出。</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14.项目支出：指在基本支出之外为完成特定行政任务和事业发展目标所发生的支出。</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15.经营支出：指事业单位在专业业务活动及其辅助活动之外开展非独立核算经营活动发生的支出。</w:t>
      </w:r>
    </w:p>
    <w:p>
      <w:pPr>
        <w:pStyle w:val="24"/>
        <w:spacing w:line="560" w:lineRule="exact"/>
        <w:ind w:firstLine="640" w:firstLineChars="2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16.“三公”经费：指</w:t>
      </w:r>
      <w:r>
        <w:rPr>
          <w:rFonts w:hint="eastAsia" w:ascii="仿宋" w:hAnsi="仿宋" w:eastAsia="仿宋" w:cs="Times New Roman"/>
          <w:color w:val="auto"/>
          <w:kern w:val="2"/>
          <w:sz w:val="32"/>
          <w:szCs w:val="32"/>
          <w:highlight w:val="none"/>
          <w:lang w:eastAsia="zh-CN"/>
        </w:rPr>
        <w:t>单位</w:t>
      </w:r>
      <w:r>
        <w:rPr>
          <w:rFonts w:hint="eastAsia" w:ascii="仿宋" w:hAnsi="仿宋" w:eastAsia="仿宋" w:cs="Times New Roman"/>
          <w:color w:val="auto"/>
          <w:kern w:val="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6"/>
          <w:rFonts w:ascii="黑体" w:hAnsi="黑体" w:eastAsia="黑体"/>
          <w:b w:val="0"/>
          <w:color w:val="auto"/>
          <w:highlight w:val="none"/>
        </w:rPr>
      </w:pPr>
      <w:bookmarkStart w:id="73" w:name="_Toc15377226"/>
      <w:r>
        <w:rPr>
          <w:rFonts w:hint="eastAsia" w:ascii="仿宋" w:hAnsi="仿宋" w:eastAsia="仿宋"/>
          <w:b w:val="0"/>
          <w:color w:val="auto"/>
          <w:sz w:val="32"/>
          <w:szCs w:val="32"/>
          <w:highlight w:val="none"/>
        </w:rPr>
        <w:br w:type="page"/>
      </w:r>
      <w:bookmarkStart w:id="74" w:name="_Toc20845"/>
      <w:bookmarkStart w:id="75"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74"/>
      <w:bookmarkEnd w:id="75"/>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6" w:name="_Toc1628"/>
      <w:r>
        <w:rPr>
          <w:rFonts w:hint="eastAsia" w:ascii="黑体" w:hAnsi="黑体" w:eastAsia="黑体" w:cs="黑体"/>
          <w:color w:val="auto"/>
          <w:sz w:val="32"/>
          <w:szCs w:val="32"/>
          <w:highlight w:val="none"/>
        </w:rPr>
        <w:t>附件</w:t>
      </w:r>
      <w:bookmarkEnd w:id="76"/>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525"/>
        <w:gridCol w:w="2109"/>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bookmarkStart w:id="77" w:name="_Toc15396618"/>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eastAsia="zh-CN" w:bidi="ar"/>
              </w:rPr>
              <w:t>四川省商务厅</w:t>
            </w:r>
            <w:r>
              <w:rPr>
                <w:rFonts w:hint="eastAsia" w:ascii="仿宋" w:hAnsi="仿宋" w:eastAsia="仿宋" w:cs="仿宋"/>
                <w:i w:val="0"/>
                <w:color w:val="auto"/>
                <w:kern w:val="0"/>
                <w:sz w:val="21"/>
                <w:szCs w:val="21"/>
                <w:u w:val="none"/>
                <w:lang w:val="en-US" w:eastAsia="zh-CN" w:bidi="ar"/>
              </w:rPr>
              <w:t>322001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实施单位</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eastAsia="zh-CN" w:bidi="ar"/>
              </w:rPr>
              <w:t>四川省商务发展事务中心</w:t>
            </w:r>
            <w:r>
              <w:rPr>
                <w:rFonts w:hint="eastAsia" w:ascii="仿宋" w:hAnsi="仿宋" w:eastAsia="仿宋" w:cs="仿宋"/>
                <w:i w:val="0"/>
                <w:color w:val="auto"/>
                <w:kern w:val="0"/>
                <w:sz w:val="21"/>
                <w:szCs w:val="21"/>
                <w:u w:val="none"/>
                <w:lang w:val="en-US" w:eastAsia="zh-CN" w:bidi="ar"/>
              </w:rPr>
              <w:t>322905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345.65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 xml:space="preserve"> 执行数：</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345.64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345.65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财政拨款</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345.64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其他资金</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color w:val="auto"/>
                <w:kern w:val="0"/>
                <w:sz w:val="21"/>
                <w:szCs w:val="21"/>
                <w:u w:val="none"/>
                <w:lang w:bidi="ar"/>
              </w:rPr>
              <w:t>贯彻落实习总书记关于进博会“让展品变商品，让展商变投资商”重要讲话精神，以“深化引进来，服务双循环”为主题开展此次活动</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color w:val="auto"/>
                <w:kern w:val="0"/>
                <w:sz w:val="21"/>
                <w:szCs w:val="21"/>
                <w:u w:val="none"/>
                <w:lang w:bidi="ar"/>
              </w:rPr>
              <w:t>此次活动体现了活动规格高，办会模式新，投资对接实，合作成效好，宣传效果佳。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预期指标值</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eastAsia="zh-CN" w:bidi="ar"/>
              </w:rPr>
            </w:pPr>
            <w:r>
              <w:rPr>
                <w:rFonts w:hint="eastAsia" w:ascii="仿宋" w:hAnsi="仿宋" w:eastAsia="仿宋" w:cs="仿宋"/>
                <w:i w:val="0"/>
                <w:color w:val="auto"/>
                <w:kern w:val="0"/>
                <w:sz w:val="21"/>
                <w:szCs w:val="21"/>
                <w:u w:val="none"/>
                <w:lang w:eastAsia="zh-CN" w:bidi="ar"/>
              </w:rPr>
              <w:t>参会人数及机构数量</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color w:val="auto"/>
                <w:kern w:val="0"/>
                <w:sz w:val="21"/>
                <w:szCs w:val="21"/>
                <w:u w:val="none"/>
                <w:lang w:bidi="ar"/>
              </w:rPr>
              <w:t>1、驻华使节》10个；2、参展商》100家；3、参会嘉宾》200人</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color w:val="auto"/>
                <w:kern w:val="0"/>
                <w:sz w:val="21"/>
                <w:szCs w:val="21"/>
                <w:u w:val="none"/>
                <w:lang w:bidi="ar"/>
              </w:rPr>
              <w:t>1、驻华使节共计12个；2、参展商120家；3、参会嘉宾约400人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eastAsia="zh-CN" w:bidi="ar"/>
              </w:rPr>
            </w:pPr>
            <w:r>
              <w:rPr>
                <w:rFonts w:hint="eastAsia" w:ascii="仿宋" w:hAnsi="仿宋" w:eastAsia="仿宋" w:cs="仿宋"/>
                <w:i w:val="0"/>
                <w:color w:val="auto"/>
                <w:kern w:val="0"/>
                <w:sz w:val="21"/>
                <w:szCs w:val="21"/>
                <w:u w:val="none"/>
                <w:lang w:eastAsia="zh-CN" w:bidi="ar"/>
              </w:rPr>
              <w:t>活动效果</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eastAsia="zh-CN" w:bidi="ar"/>
              </w:rPr>
            </w:pPr>
            <w:r>
              <w:rPr>
                <w:rFonts w:hint="eastAsia" w:ascii="仿宋" w:hAnsi="仿宋" w:eastAsia="仿宋" w:cs="仿宋"/>
                <w:i w:val="0"/>
                <w:color w:val="auto"/>
                <w:kern w:val="0"/>
                <w:sz w:val="21"/>
                <w:szCs w:val="21"/>
                <w:u w:val="none"/>
                <w:lang w:eastAsia="zh-CN" w:bidi="ar"/>
              </w:rPr>
              <w:t>良好</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eastAsia="zh-CN" w:bidi="ar"/>
              </w:rPr>
            </w:pPr>
            <w:r>
              <w:rPr>
                <w:rFonts w:hint="eastAsia" w:ascii="仿宋" w:hAnsi="仿宋" w:eastAsia="仿宋" w:cs="仿宋"/>
                <w:i w:val="0"/>
                <w:color w:val="auto"/>
                <w:kern w:val="0"/>
                <w:sz w:val="21"/>
                <w:szCs w:val="21"/>
                <w:u w:val="none"/>
                <w:lang w:eastAsia="zh-CN" w:bidi="ar"/>
              </w:rPr>
              <w:t>完成时间</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7月底</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eastAsia="zh-CN" w:bidi="ar"/>
              </w:rPr>
            </w:pPr>
            <w:r>
              <w:rPr>
                <w:rFonts w:hint="eastAsia" w:ascii="仿宋" w:hAnsi="仿宋" w:eastAsia="仿宋" w:cs="仿宋"/>
                <w:i w:val="0"/>
                <w:color w:val="auto"/>
                <w:kern w:val="0"/>
                <w:sz w:val="21"/>
                <w:szCs w:val="21"/>
                <w:u w:val="none"/>
                <w:lang w:eastAsia="zh-CN" w:bidi="ar"/>
              </w:rPr>
              <w:t>无</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eastAsia="zh-CN" w:bidi="ar"/>
              </w:rPr>
            </w:pPr>
            <w:r>
              <w:rPr>
                <w:rFonts w:hint="eastAsia" w:ascii="仿宋" w:hAnsi="仿宋" w:eastAsia="仿宋" w:cs="仿宋"/>
                <w:i w:val="0"/>
                <w:color w:val="auto"/>
                <w:kern w:val="0"/>
                <w:sz w:val="21"/>
                <w:szCs w:val="21"/>
                <w:u w:val="none"/>
                <w:lang w:eastAsia="zh-CN" w:bidi="ar"/>
              </w:rPr>
              <w:t>无</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eastAsia="zh-CN" w:bidi="ar"/>
              </w:rPr>
            </w:pPr>
            <w:r>
              <w:rPr>
                <w:rFonts w:hint="eastAsia" w:ascii="仿宋" w:hAnsi="仿宋" w:eastAsia="仿宋" w:cs="仿宋"/>
                <w:i w:val="0"/>
                <w:color w:val="auto"/>
                <w:kern w:val="0"/>
                <w:sz w:val="21"/>
                <w:szCs w:val="21"/>
                <w:u w:val="none"/>
                <w:lang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4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经济效益  </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eastAsia="zh-CN" w:bidi="ar"/>
              </w:rPr>
            </w:pPr>
            <w:r>
              <w:rPr>
                <w:rFonts w:hint="eastAsia" w:ascii="仿宋" w:hAnsi="仿宋" w:eastAsia="仿宋" w:cs="仿宋"/>
                <w:i w:val="0"/>
                <w:color w:val="auto"/>
                <w:kern w:val="0"/>
                <w:sz w:val="21"/>
                <w:szCs w:val="21"/>
                <w:u w:val="none"/>
                <w:lang w:eastAsia="zh-CN" w:bidi="ar"/>
              </w:rPr>
              <w:t>无</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eastAsia="zh-CN" w:bidi="ar"/>
              </w:rPr>
            </w:pPr>
            <w:r>
              <w:rPr>
                <w:rFonts w:hint="eastAsia" w:ascii="仿宋" w:hAnsi="仿宋" w:eastAsia="仿宋" w:cs="仿宋"/>
                <w:i w:val="0"/>
                <w:color w:val="auto"/>
                <w:kern w:val="0"/>
                <w:sz w:val="21"/>
                <w:szCs w:val="21"/>
                <w:u w:val="none"/>
                <w:lang w:eastAsia="zh-CN" w:bidi="ar"/>
              </w:rPr>
              <w:t>无</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eastAsia="zh-CN" w:bidi="ar"/>
              </w:rPr>
            </w:pPr>
            <w:r>
              <w:rPr>
                <w:rFonts w:hint="eastAsia" w:ascii="仿宋" w:hAnsi="仿宋" w:eastAsia="仿宋" w:cs="仿宋"/>
                <w:i w:val="0"/>
                <w:color w:val="auto"/>
                <w:kern w:val="0"/>
                <w:sz w:val="21"/>
                <w:szCs w:val="21"/>
                <w:u w:val="none"/>
                <w:lang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41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社会效益  </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color w:val="auto"/>
                <w:kern w:val="0"/>
                <w:sz w:val="21"/>
                <w:szCs w:val="21"/>
                <w:u w:val="none"/>
                <w:lang w:bidi="ar"/>
              </w:rPr>
              <w:t>宣传推广四川经济社会各领域发展情况</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color w:val="auto"/>
                <w:kern w:val="0"/>
                <w:sz w:val="21"/>
                <w:szCs w:val="21"/>
                <w:u w:val="none"/>
                <w:lang w:bidi="ar"/>
              </w:rPr>
              <w:t>宣传推广四川经济社会各领域发展情况</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1"/>
                <w:szCs w:val="21"/>
                <w:u w:val="none"/>
                <w:lang w:bidi="ar"/>
              </w:rPr>
            </w:pPr>
            <w:r>
              <w:rPr>
                <w:rFonts w:hint="eastAsia" w:ascii="仿宋" w:hAnsi="仿宋" w:eastAsia="仿宋" w:cs="仿宋"/>
                <w:color w:val="auto"/>
                <w:kern w:val="0"/>
                <w:sz w:val="21"/>
                <w:szCs w:val="21"/>
                <w:u w:val="none"/>
                <w:lang w:bidi="ar"/>
              </w:rPr>
              <w:t>宣传推广四川经济社会各领域发展情况，推介四川开放平台，展示发展成绩，彰显发展机遇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 xml:space="preserve">生态效益  </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color w:val="auto"/>
                <w:kern w:val="0"/>
                <w:sz w:val="21"/>
                <w:szCs w:val="21"/>
                <w:u w:val="none"/>
                <w:lang w:bidi="ar"/>
              </w:rPr>
            </w:pPr>
            <w:r>
              <w:rPr>
                <w:rFonts w:hint="eastAsia" w:ascii="仿宋_GB2312" w:hAnsi="仿宋_GB2312" w:eastAsia="仿宋_GB2312" w:cs="仿宋_GB2312"/>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eastAsia="zh-CN" w:bidi="ar"/>
              </w:rPr>
            </w:pPr>
            <w:r>
              <w:rPr>
                <w:rFonts w:hint="eastAsia" w:ascii="仿宋_GB2312" w:hAnsi="仿宋_GB2312" w:eastAsia="仿宋_GB2312" w:cs="仿宋_GB2312"/>
                <w:i w:val="0"/>
                <w:color w:val="auto"/>
                <w:kern w:val="0"/>
                <w:sz w:val="21"/>
                <w:szCs w:val="21"/>
                <w:u w:val="none"/>
                <w:lang w:eastAsia="zh-CN" w:bidi="ar"/>
              </w:rPr>
              <w:t>无</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eastAsia="zh-CN" w:bidi="ar"/>
              </w:rPr>
            </w:pPr>
            <w:r>
              <w:rPr>
                <w:rFonts w:hint="eastAsia" w:ascii="仿宋_GB2312" w:hAnsi="仿宋_GB2312" w:eastAsia="仿宋_GB2312" w:cs="仿宋_GB2312"/>
                <w:i w:val="0"/>
                <w:color w:val="auto"/>
                <w:kern w:val="0"/>
                <w:sz w:val="21"/>
                <w:szCs w:val="21"/>
                <w:u w:val="none"/>
                <w:lang w:eastAsia="zh-CN" w:bidi="ar"/>
              </w:rPr>
              <w:t>无</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eastAsia="zh-CN" w:bidi="ar"/>
              </w:rPr>
            </w:pPr>
            <w:r>
              <w:rPr>
                <w:rFonts w:hint="eastAsia" w:ascii="仿宋_GB2312" w:hAnsi="仿宋_GB2312" w:eastAsia="仿宋_GB2312" w:cs="仿宋_GB2312"/>
                <w:i w:val="0"/>
                <w:color w:val="auto"/>
                <w:kern w:val="0"/>
                <w:sz w:val="21"/>
                <w:szCs w:val="21"/>
                <w:u w:val="none"/>
                <w:lang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 xml:space="preserve">可持续影响 </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bidi="ar"/>
              </w:rPr>
            </w:pPr>
            <w:r>
              <w:rPr>
                <w:rFonts w:hint="eastAsia" w:ascii="仿宋_GB2312" w:hAnsi="仿宋_GB2312" w:eastAsia="仿宋_GB2312" w:cs="仿宋_GB2312"/>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eastAsia="zh-CN" w:bidi="ar"/>
              </w:rPr>
            </w:pPr>
            <w:r>
              <w:rPr>
                <w:rFonts w:hint="eastAsia" w:ascii="仿宋_GB2312" w:hAnsi="仿宋_GB2312" w:eastAsia="仿宋_GB2312" w:cs="仿宋_GB2312"/>
                <w:i w:val="0"/>
                <w:color w:val="auto"/>
                <w:kern w:val="0"/>
                <w:sz w:val="21"/>
                <w:szCs w:val="21"/>
                <w:u w:val="none"/>
                <w:lang w:eastAsia="zh-CN" w:bidi="ar"/>
              </w:rPr>
              <w:t>无</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eastAsia="zh-CN" w:bidi="ar"/>
              </w:rPr>
            </w:pPr>
            <w:r>
              <w:rPr>
                <w:rFonts w:hint="eastAsia" w:ascii="仿宋_GB2312" w:hAnsi="仿宋_GB2312" w:eastAsia="仿宋_GB2312" w:cs="仿宋_GB2312"/>
                <w:i w:val="0"/>
                <w:color w:val="auto"/>
                <w:kern w:val="0"/>
                <w:sz w:val="21"/>
                <w:szCs w:val="21"/>
                <w:u w:val="none"/>
                <w:lang w:eastAsia="zh-CN" w:bidi="ar"/>
              </w:rPr>
              <w:t>无</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eastAsia="zh-CN" w:bidi="ar"/>
              </w:rPr>
            </w:pPr>
            <w:r>
              <w:rPr>
                <w:rFonts w:hint="eastAsia" w:ascii="仿宋_GB2312" w:hAnsi="仿宋_GB2312" w:eastAsia="仿宋_GB2312" w:cs="仿宋_GB2312"/>
                <w:i w:val="0"/>
                <w:color w:val="auto"/>
                <w:kern w:val="0"/>
                <w:sz w:val="21"/>
                <w:szCs w:val="21"/>
                <w:u w:val="none"/>
                <w:lang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bidi="ar"/>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bidi="ar"/>
              </w:rPr>
            </w:pPr>
            <w:r>
              <w:rPr>
                <w:rFonts w:hint="eastAsia" w:ascii="仿宋_GB2312" w:hAnsi="仿宋_GB2312" w:eastAsia="仿宋_GB2312" w:cs="仿宋_GB2312"/>
                <w:i w:val="0"/>
                <w:color w:val="auto"/>
                <w:kern w:val="0"/>
                <w:sz w:val="21"/>
                <w:szCs w:val="21"/>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1"/>
                <w:szCs w:val="21"/>
                <w:u w:val="none"/>
                <w:lang w:bidi="ar"/>
              </w:rPr>
            </w:pPr>
            <w:r>
              <w:rPr>
                <w:rFonts w:hint="eastAsia" w:ascii="仿宋_GB2312" w:hAnsi="仿宋_GB2312" w:eastAsia="仿宋_GB2312" w:cs="仿宋_GB2312"/>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1"/>
                <w:szCs w:val="21"/>
                <w:u w:val="none"/>
                <w:lang w:bidi="ar"/>
              </w:rPr>
            </w:pPr>
            <w:r>
              <w:rPr>
                <w:rFonts w:hint="eastAsia" w:ascii="仿宋_GB2312" w:hAnsi="仿宋_GB2312" w:eastAsia="仿宋_GB2312" w:cs="仿宋_GB2312"/>
                <w:color w:val="auto"/>
                <w:kern w:val="0"/>
                <w:sz w:val="21"/>
                <w:szCs w:val="21"/>
                <w:u w:val="none"/>
                <w:lang w:bidi="ar"/>
              </w:rPr>
              <w:t>参会人员及机构满意度</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eastAsia="zh-CN" w:bidi="ar"/>
              </w:rPr>
              <w:t>满意度》</w:t>
            </w:r>
            <w:r>
              <w:rPr>
                <w:rFonts w:hint="eastAsia" w:ascii="仿宋_GB2312" w:hAnsi="仿宋_GB2312" w:eastAsia="仿宋_GB2312" w:cs="仿宋_GB2312"/>
                <w:i w:val="0"/>
                <w:color w:val="auto"/>
                <w:kern w:val="0"/>
                <w:sz w:val="21"/>
                <w:szCs w:val="21"/>
                <w:u w:val="none"/>
                <w:lang w:val="en-US" w:eastAsia="zh-CN" w:bidi="ar"/>
              </w:rPr>
              <w:t>90%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eastAsia="zh-CN" w:bidi="ar"/>
              </w:rPr>
              <w:t>满意度》</w:t>
            </w:r>
            <w:r>
              <w:rPr>
                <w:rFonts w:hint="eastAsia" w:ascii="仿宋_GB2312" w:hAnsi="仿宋_GB2312" w:eastAsia="仿宋_GB2312" w:cs="仿宋_GB2312"/>
                <w:i w:val="0"/>
                <w:color w:val="auto"/>
                <w:kern w:val="0"/>
                <w:sz w:val="21"/>
                <w:szCs w:val="21"/>
                <w:u w:val="none"/>
                <w:lang w:val="en-US" w:eastAsia="zh-CN" w:bidi="ar"/>
              </w:rPr>
              <w:t>95%</w:t>
            </w:r>
          </w:p>
        </w:tc>
      </w:tr>
    </w:tbl>
    <w:p>
      <w:pPr>
        <w:spacing w:line="600" w:lineRule="exact"/>
        <w:jc w:val="center"/>
        <w:outlineLvl w:val="9"/>
        <w:rPr>
          <w:rFonts w:hint="eastAsia" w:ascii="黑体" w:hAnsi="黑体" w:eastAsia="黑体"/>
          <w:color w:val="auto"/>
          <w:sz w:val="44"/>
          <w:szCs w:val="44"/>
          <w:highlight w:val="none"/>
        </w:rPr>
      </w:pPr>
    </w:p>
    <w:p>
      <w:pPr>
        <w:pStyle w:val="5"/>
        <w:rPr>
          <w:rFonts w:hint="eastAsia" w:ascii="仿宋_GB2312" w:hAnsi="宋体" w:eastAsia="仿宋_GB2312" w:cs="宋体"/>
          <w:color w:val="000000"/>
          <w:kern w:val="0"/>
          <w:sz w:val="32"/>
          <w:szCs w:val="32"/>
          <w:shd w:val="clear" w:color="auto" w:fill="FFFFFF"/>
          <w:lang w:val="en-US" w:eastAsia="zh-CN"/>
        </w:rPr>
      </w:pPr>
    </w:p>
    <w:p>
      <w:pPr>
        <w:pStyle w:val="5"/>
        <w:rPr>
          <w:rFonts w:hint="eastAsia" w:ascii="仿宋_GB2312" w:hAnsi="宋体" w:eastAsia="仿宋_GB2312" w:cs="宋体"/>
          <w:color w:val="000000"/>
          <w:kern w:val="0"/>
          <w:sz w:val="32"/>
          <w:szCs w:val="32"/>
          <w:shd w:val="clear" w:color="auto" w:fill="FFFFFF"/>
          <w:lang w:val="en-US" w:eastAsia="zh-CN"/>
        </w:rPr>
      </w:pPr>
    </w:p>
    <w:p>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pPr>
        <w:pStyle w:val="5"/>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8" w:name="_Toc25853"/>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73"/>
      <w:bookmarkEnd w:id="77"/>
      <w:bookmarkEnd w:id="78"/>
      <w:bookmarkStart w:id="79" w:name="_Toc15396619"/>
    </w:p>
    <w:p>
      <w:pPr>
        <w:pStyle w:val="3"/>
        <w:rPr>
          <w:rFonts w:ascii="仿宋" w:hAnsi="仿宋" w:eastAsia="仿宋"/>
          <w:color w:val="auto"/>
          <w:highlight w:val="none"/>
        </w:rPr>
      </w:pPr>
      <w:bookmarkStart w:id="80" w:name="_Toc22335"/>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79"/>
      <w:bookmarkEnd w:id="80"/>
    </w:p>
    <w:p>
      <w:pPr>
        <w:pStyle w:val="3"/>
        <w:rPr>
          <w:rFonts w:ascii="仿宋" w:hAnsi="仿宋" w:eastAsia="仿宋"/>
          <w:color w:val="auto"/>
          <w:highlight w:val="none"/>
        </w:rPr>
      </w:pPr>
      <w:bookmarkStart w:id="81" w:name="_Toc15396620"/>
      <w:bookmarkStart w:id="82" w:name="_Toc702"/>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81"/>
      <w:bookmarkEnd w:id="82"/>
    </w:p>
    <w:p>
      <w:pPr>
        <w:pStyle w:val="3"/>
        <w:rPr>
          <w:rFonts w:ascii="仿宋" w:hAnsi="仿宋" w:eastAsia="仿宋"/>
          <w:color w:val="auto"/>
          <w:highlight w:val="none"/>
        </w:rPr>
      </w:pPr>
      <w:bookmarkStart w:id="83" w:name="_Toc13150"/>
      <w:bookmarkStart w:id="84"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83"/>
      <w:bookmarkEnd w:id="84"/>
    </w:p>
    <w:p>
      <w:pPr>
        <w:pStyle w:val="3"/>
        <w:rPr>
          <w:rFonts w:ascii="仿宋" w:hAnsi="仿宋" w:eastAsia="仿宋"/>
          <w:b w:val="0"/>
          <w:color w:val="auto"/>
          <w:highlight w:val="none"/>
        </w:rPr>
      </w:pPr>
      <w:bookmarkStart w:id="85" w:name="_Toc15396622"/>
      <w:bookmarkStart w:id="86" w:name="_Toc6739"/>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85"/>
      <w:bookmarkEnd w:id="86"/>
    </w:p>
    <w:p>
      <w:pPr>
        <w:pStyle w:val="3"/>
        <w:rPr>
          <w:rStyle w:val="27"/>
          <w:rFonts w:ascii="仿宋" w:hAnsi="仿宋" w:eastAsia="仿宋"/>
          <w:b w:val="0"/>
          <w:bCs w:val="0"/>
          <w:color w:val="auto"/>
          <w:highlight w:val="none"/>
        </w:rPr>
      </w:pPr>
      <w:bookmarkStart w:id="87" w:name="_Toc1129"/>
      <w:bookmarkStart w:id="8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87"/>
      <w:bookmarkEnd w:id="88"/>
      <w:bookmarkStart w:id="89" w:name="_Toc15396624"/>
    </w:p>
    <w:p>
      <w:pPr>
        <w:pStyle w:val="3"/>
        <w:rPr>
          <w:rFonts w:ascii="仿宋" w:hAnsi="仿宋" w:eastAsia="仿宋"/>
          <w:color w:val="auto"/>
          <w:highlight w:val="none"/>
        </w:rPr>
      </w:pPr>
      <w:bookmarkStart w:id="90" w:name="_Toc3319"/>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89"/>
      <w:bookmarkEnd w:id="90"/>
    </w:p>
    <w:p>
      <w:pPr>
        <w:pStyle w:val="3"/>
        <w:rPr>
          <w:rFonts w:ascii="仿宋" w:hAnsi="仿宋" w:eastAsia="仿宋"/>
          <w:color w:val="auto"/>
          <w:highlight w:val="none"/>
        </w:rPr>
      </w:pPr>
      <w:bookmarkStart w:id="91" w:name="_Toc29643"/>
      <w:bookmarkStart w:id="92"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91"/>
      <w:bookmarkEnd w:id="92"/>
    </w:p>
    <w:p>
      <w:pPr>
        <w:pStyle w:val="3"/>
        <w:rPr>
          <w:rFonts w:ascii="仿宋" w:hAnsi="仿宋" w:eastAsia="仿宋"/>
          <w:color w:val="auto"/>
          <w:highlight w:val="none"/>
        </w:rPr>
      </w:pPr>
      <w:bookmarkStart w:id="93" w:name="_Toc15396626"/>
      <w:bookmarkStart w:id="94" w:name="_Toc32515"/>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93"/>
      <w:bookmarkEnd w:id="94"/>
    </w:p>
    <w:p>
      <w:pPr>
        <w:pStyle w:val="3"/>
        <w:rPr>
          <w:rFonts w:ascii="仿宋" w:hAnsi="仿宋" w:eastAsia="仿宋"/>
          <w:color w:val="auto"/>
          <w:highlight w:val="none"/>
        </w:rPr>
      </w:pPr>
      <w:bookmarkStart w:id="95" w:name="_Toc15396627"/>
      <w:bookmarkStart w:id="96" w:name="_Toc6831"/>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95"/>
      <w:bookmarkEnd w:id="96"/>
    </w:p>
    <w:p>
      <w:pPr>
        <w:pStyle w:val="3"/>
        <w:rPr>
          <w:rFonts w:ascii="仿宋" w:hAnsi="仿宋" w:eastAsia="仿宋"/>
          <w:color w:val="auto"/>
          <w:highlight w:val="none"/>
        </w:rPr>
      </w:pPr>
      <w:bookmarkStart w:id="97" w:name="_Toc23137"/>
      <w:bookmarkStart w:id="98"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97"/>
      <w:bookmarkEnd w:id="98"/>
    </w:p>
    <w:p>
      <w:pPr>
        <w:pStyle w:val="3"/>
        <w:rPr>
          <w:rFonts w:ascii="仿宋" w:hAnsi="仿宋" w:eastAsia="仿宋"/>
          <w:color w:val="auto"/>
          <w:highlight w:val="none"/>
        </w:rPr>
      </w:pPr>
      <w:bookmarkStart w:id="99" w:name="_Toc17174"/>
      <w:bookmarkStart w:id="100"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99"/>
      <w:bookmarkEnd w:id="100"/>
    </w:p>
    <w:p>
      <w:pPr>
        <w:pStyle w:val="3"/>
        <w:rPr>
          <w:rFonts w:ascii="仿宋" w:hAnsi="仿宋" w:eastAsia="仿宋"/>
          <w:color w:val="auto"/>
          <w:highlight w:val="none"/>
        </w:rPr>
      </w:pPr>
      <w:bookmarkStart w:id="101" w:name="_Toc15396630"/>
      <w:bookmarkStart w:id="102" w:name="_Toc12746"/>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101"/>
      <w:bookmarkEnd w:id="102"/>
    </w:p>
    <w:p>
      <w:pPr>
        <w:pStyle w:val="3"/>
        <w:rPr>
          <w:rStyle w:val="27"/>
          <w:rFonts w:hint="eastAsia" w:ascii="仿宋" w:hAnsi="仿宋" w:eastAsia="仿宋"/>
          <w:b w:val="0"/>
          <w:bCs w:val="0"/>
          <w:color w:val="auto"/>
          <w:highlight w:val="none"/>
        </w:rPr>
      </w:pPr>
      <w:bookmarkStart w:id="103" w:name="_Toc19115"/>
      <w:bookmarkStart w:id="104"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03"/>
      <w:bookmarkEnd w:id="104"/>
    </w:p>
    <w:p>
      <w:pPr>
        <w:rPr>
          <w:rFonts w:hint="eastAsia" w:eastAsia="仿宋"/>
          <w:color w:val="auto"/>
          <w:highlight w:val="none"/>
          <w:lang w:eastAsia="zh-CN"/>
        </w:rPr>
      </w:pPr>
      <w:bookmarkStart w:id="105" w:name="_Toc29377"/>
      <w:r>
        <w:rPr>
          <w:rStyle w:val="27"/>
          <w:rFonts w:hint="eastAsia" w:ascii="仿宋" w:hAnsi="仿宋" w:eastAsia="仿宋"/>
          <w:b w:val="0"/>
          <w:bCs w:val="0"/>
          <w:color w:val="auto"/>
          <w:highlight w:val="none"/>
          <w:lang w:eastAsia="zh-CN"/>
        </w:rPr>
        <w:t>十四、国有资本经营预算财政拨款支出决算表</w:t>
      </w:r>
      <w:bookmarkEnd w:id="105"/>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bidi w:val="0"/>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bidi w:val="0"/>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bidi w:val="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NjdjOTVjMDVhOGZmYjFlYjlmZGQxNzc3N2E0N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444D52"/>
    <w:rsid w:val="047047FB"/>
    <w:rsid w:val="06EB17D3"/>
    <w:rsid w:val="07974230"/>
    <w:rsid w:val="08D95C0F"/>
    <w:rsid w:val="0A2032A3"/>
    <w:rsid w:val="0B8A37D8"/>
    <w:rsid w:val="0C164D94"/>
    <w:rsid w:val="0C703448"/>
    <w:rsid w:val="10C055FF"/>
    <w:rsid w:val="118107EC"/>
    <w:rsid w:val="11AC2032"/>
    <w:rsid w:val="11DD6519"/>
    <w:rsid w:val="130167D6"/>
    <w:rsid w:val="137A50FF"/>
    <w:rsid w:val="14DB4E41"/>
    <w:rsid w:val="16BB723D"/>
    <w:rsid w:val="18015F3F"/>
    <w:rsid w:val="18620CC7"/>
    <w:rsid w:val="199B603C"/>
    <w:rsid w:val="19BC27C4"/>
    <w:rsid w:val="1B441DC9"/>
    <w:rsid w:val="1BE8440E"/>
    <w:rsid w:val="1D0609AB"/>
    <w:rsid w:val="1D155CEE"/>
    <w:rsid w:val="1E480399"/>
    <w:rsid w:val="20176EF8"/>
    <w:rsid w:val="20F57F95"/>
    <w:rsid w:val="211462CF"/>
    <w:rsid w:val="23975756"/>
    <w:rsid w:val="240371BF"/>
    <w:rsid w:val="25916D52"/>
    <w:rsid w:val="25C741E6"/>
    <w:rsid w:val="27842671"/>
    <w:rsid w:val="27985158"/>
    <w:rsid w:val="28BE0947"/>
    <w:rsid w:val="29FD04D3"/>
    <w:rsid w:val="2ABE7A3E"/>
    <w:rsid w:val="2BCE43F0"/>
    <w:rsid w:val="2E0D714D"/>
    <w:rsid w:val="2EFA178C"/>
    <w:rsid w:val="30B46D73"/>
    <w:rsid w:val="319F7F4E"/>
    <w:rsid w:val="35A059FB"/>
    <w:rsid w:val="39AE70AB"/>
    <w:rsid w:val="3A420D2E"/>
    <w:rsid w:val="3C0C0783"/>
    <w:rsid w:val="3D07131A"/>
    <w:rsid w:val="3D7B5E92"/>
    <w:rsid w:val="3F9F3A96"/>
    <w:rsid w:val="3FD02D3C"/>
    <w:rsid w:val="3FE7E987"/>
    <w:rsid w:val="40557588"/>
    <w:rsid w:val="4091291F"/>
    <w:rsid w:val="417279ED"/>
    <w:rsid w:val="41D77BAF"/>
    <w:rsid w:val="493C27E9"/>
    <w:rsid w:val="496F39ED"/>
    <w:rsid w:val="49DE098A"/>
    <w:rsid w:val="49FF41D3"/>
    <w:rsid w:val="4B3A5ED7"/>
    <w:rsid w:val="4BE068DB"/>
    <w:rsid w:val="4BF6002B"/>
    <w:rsid w:val="4CF74780"/>
    <w:rsid w:val="4ECE2238"/>
    <w:rsid w:val="4F415050"/>
    <w:rsid w:val="4FB52FC3"/>
    <w:rsid w:val="51DB4B86"/>
    <w:rsid w:val="54C13326"/>
    <w:rsid w:val="55333C3E"/>
    <w:rsid w:val="5A3D0635"/>
    <w:rsid w:val="5C3E2B61"/>
    <w:rsid w:val="5D2E75F1"/>
    <w:rsid w:val="5D971698"/>
    <w:rsid w:val="5EAA69F9"/>
    <w:rsid w:val="615722B5"/>
    <w:rsid w:val="63BF3C16"/>
    <w:rsid w:val="64CA39A1"/>
    <w:rsid w:val="689A23E6"/>
    <w:rsid w:val="68FA2E8A"/>
    <w:rsid w:val="6C4A05C8"/>
    <w:rsid w:val="72734D90"/>
    <w:rsid w:val="74ED2584"/>
    <w:rsid w:val="764C5A0D"/>
    <w:rsid w:val="76684F0A"/>
    <w:rsid w:val="77CF5EED"/>
    <w:rsid w:val="78E14106"/>
    <w:rsid w:val="796043DE"/>
    <w:rsid w:val="79E7B28D"/>
    <w:rsid w:val="7F9F20EE"/>
    <w:rsid w:val="7FFD95FB"/>
    <w:rsid w:val="8C3F73B1"/>
    <w:rsid w:val="9E3A10E2"/>
    <w:rsid w:val="D3FE09C7"/>
    <w:rsid w:val="D8FE330B"/>
    <w:rsid w:val="DFC4EE11"/>
    <w:rsid w:val="E7FFE7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qFormat/>
    <w:uiPriority w:val="0"/>
    <w:pPr>
      <w:ind w:firstLine="420" w:firstLineChars="200"/>
    </w:pPr>
    <w:rPr>
      <w:rFonts w:ascii="Calibri" w:hAnsi="Calibri" w:eastAsia="宋体" w:cs="Times New Roman"/>
      <w:szCs w:val="22"/>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US" w:eastAsia="zh-CN" w:bidi="ar-SA"/>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7" Type="http://schemas.microsoft.com/office/2011/relationships/chartColorStyle" Target="colors6.xml"/><Relationship Id="rId6" Type="http://schemas.microsoft.com/office/2011/relationships/chartStyle" Target="style6.xml"/><Relationship Id="rId5" Type="http://schemas.openxmlformats.org/officeDocument/2006/relationships/image" Target="../media/image4.png"/><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themeOverride" Target="../theme/themeOverride2.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1.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收入支出决算总体情况</a:t>
            </a:r>
          </a:p>
        </c:rich>
      </c:tx>
      <c:layout/>
      <c:overlay val="false"/>
      <c:spPr>
        <a:noFill/>
        <a:ln>
          <a:noFill/>
        </a:ln>
        <a:effectLst/>
      </c:spPr>
    </c:title>
    <c:autoTitleDeleted val="false"/>
    <c:plotArea>
      <c:layout>
        <c:manualLayout>
          <c:layoutTarget val="inner"/>
          <c:xMode val="edge"/>
          <c:yMode val="edge"/>
          <c:x val="0.0907"/>
          <c:y val="0.130833333333333"/>
          <c:w val="0.8863"/>
          <c:h val="0.7084"/>
        </c:manualLayout>
      </c:layout>
      <c:barChart>
        <c:barDir val="col"/>
        <c:grouping val="clustered"/>
        <c:varyColors val="false"/>
        <c:ser>
          <c:idx val="0"/>
          <c:order val="0"/>
          <c:tx>
            <c:strRef>
              <c:f>Sheet1!$B$1</c:f>
              <c:strCache>
                <c:ptCount val="1"/>
                <c:pt idx="0">
                  <c:v>2020年</c:v>
                </c:pt>
              </c:strCache>
            </c:strRef>
          </c:tx>
          <c:spPr>
            <a:blipFill rotWithShape="true">
              <a:blip xmlns:r="http://schemas.openxmlformats.org/officeDocument/2006/relationships" r:embed="rId3"/>
              <a:stretch>
                <a:fillRect/>
              </a:stretch>
            </a:blipFill>
            <a:ln>
              <a:noFill/>
            </a:ln>
            <a:effectLst>
              <a:outerShdw blurRad="76200" dir="18900000" sy="23000" kx="-1200000" algn="bl" rotWithShape="0">
                <a:prstClr val="black">
                  <a:alpha val="10000"/>
                </a:prstClr>
              </a:outerShdw>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收支总计（万元）</c:v>
                </c:pt>
              </c:strCache>
            </c:strRef>
          </c:cat>
          <c:val>
            <c:numRef>
              <c:f>Sheet1!$B$2</c:f>
              <c:numCache>
                <c:formatCode>General</c:formatCode>
                <c:ptCount val="1"/>
                <c:pt idx="0">
                  <c:v>1035.02</c:v>
                </c:pt>
              </c:numCache>
            </c:numRef>
          </c:val>
        </c:ser>
        <c:ser>
          <c:idx val="1"/>
          <c:order val="1"/>
          <c:tx>
            <c:strRef>
              <c:f>Sheet1!$C$1</c:f>
              <c:strCache>
                <c:ptCount val="1"/>
                <c:pt idx="0">
                  <c:v>2021年</c:v>
                </c:pt>
              </c:strCache>
            </c:strRef>
          </c:tx>
          <c:spPr>
            <a:blipFill rotWithShape="true">
              <a:blip xmlns:r="http://schemas.openxmlformats.org/officeDocument/2006/relationships" r:embed="rId4"/>
              <a:stretch>
                <a:fillRect l="4000" r="1000"/>
              </a:stretch>
            </a:blipFill>
            <a:ln>
              <a:noFill/>
            </a:ln>
            <a:effectLst>
              <a:outerShdw blurRad="76200" dir="18900000" sy="23000" kx="-1200000" algn="bl" rotWithShape="0">
                <a:prstClr val="black">
                  <a:alpha val="10000"/>
                </a:prstClr>
              </a:outerShdw>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收支总计（万元）</c:v>
                </c:pt>
              </c:strCache>
            </c:strRef>
          </c:cat>
          <c:val>
            <c:numRef>
              <c:f>Sheet1!$C$2</c:f>
              <c:numCache>
                <c:formatCode>General</c:formatCode>
                <c:ptCount val="1"/>
                <c:pt idx="0">
                  <c:v>1417.08</c:v>
                </c:pt>
              </c:numCache>
            </c:numRef>
          </c:val>
        </c:ser>
        <c:ser>
          <c:idx val="2"/>
          <c:order val="2"/>
          <c:tx>
            <c:strRef>
              <c:f>Sheet1!#REF!</c:f>
              <c:strCache>
                <c:ptCount val="1"/>
                <c:pt idx="0">
                  <c:v/>
                </c:pt>
              </c:strCache>
            </c:strRef>
          </c:tx>
          <c:spPr>
            <a:blipFill rotWithShape="true">
              <a:blip xmlns:r="http://schemas.openxmlformats.org/officeDocument/2006/relationships" r:embed="rId5"/>
              <a:stretch>
                <a:fillRect/>
              </a:stretch>
            </a:blipFill>
            <a:ln>
              <a:noFill/>
            </a:ln>
            <a:effectLst>
              <a:outerShdw blurRad="76200" dir="18900000" sy="23000" kx="-1200000" algn="bl" rotWithShape="0">
                <a:prstClr val="black">
                  <a:alpha val="10000"/>
                </a:prstClr>
              </a:outerShdw>
            </a:effectLst>
          </c:spPr>
          <c:invertIfNegative val="false"/>
          <c:dLbls>
            <c:delete val="true"/>
          </c:dLbls>
          <c:cat>
            <c:strRef>
              <c:f>Sheet1!$A$2</c:f>
              <c:strCache>
                <c:ptCount val="1"/>
                <c:pt idx="0">
                  <c:v>收支总计（万元）</c:v>
                </c:pt>
              </c:strCache>
            </c:strRef>
          </c:cat>
          <c:val>
            <c:numRef>
              <c:f>Sheet1!#REF!</c:f>
              <c:numCache>
                <c:formatCode>General</c:formatCode>
                <c:ptCount val="1"/>
                <c:pt idx="0">
                  <c:v>1</c:v>
                </c:pt>
              </c:numCache>
            </c:numRef>
          </c:val>
        </c:ser>
        <c:dLbls>
          <c:showLegendKey val="false"/>
          <c:showVal val="true"/>
          <c:showCatName val="false"/>
          <c:showSerName val="false"/>
          <c:showPercent val="false"/>
          <c:showBubbleSize val="false"/>
        </c:dLbls>
        <c:gapWidth val="500"/>
        <c:overlap val="-40"/>
        <c:axId val="534319260"/>
        <c:axId val="524353677"/>
      </c:barChart>
      <c:catAx>
        <c:axId val="534319260"/>
        <c:scaling>
          <c:orientation val="minMax"/>
        </c:scaling>
        <c:delete val="false"/>
        <c:axPos val="b"/>
        <c:minorGridlines>
          <c:spPr>
            <a:ln w="9525" cap="flat" cmpd="sng" algn="ctr">
              <a:solidFill>
                <a:schemeClr val="tx1">
                  <a:lumMod val="5000"/>
                  <a:lumOff val="95000"/>
                </a:schemeClr>
              </a:solidFill>
              <a:round/>
            </a:ln>
            <a:effectLst/>
          </c:spPr>
        </c:minorGridlines>
        <c:numFmt formatCode="General" sourceLinked="true"/>
        <c:majorTickMark val="none"/>
        <c:minorTickMark val="none"/>
        <c:tickLblPos val="nextTo"/>
        <c:spPr>
          <a:noFill/>
          <a:ln w="9525" cap="flat" cmpd="sng" algn="ctr">
            <a:noFill/>
            <a:round/>
          </a:ln>
          <a:effectLst/>
        </c:spPr>
        <c:txPr>
          <a:bodyPr rot="-60000000" spcFirstLastPara="0" vertOverflow="ellipsis" vert="horz" wrap="square" anchor="ctr" anchorCtr="true" forceAA="false"/>
          <a:lstStyle/>
          <a:p>
            <a:pPr>
              <a:defRPr lang="zh-CN" sz="900" b="0" i="0" u="none" strike="noStrike" kern="120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24353677"/>
        <c:crosses val="autoZero"/>
        <c:auto val="true"/>
        <c:lblAlgn val="ctr"/>
        <c:lblOffset val="100"/>
        <c:noMultiLvlLbl val="false"/>
      </c:catAx>
      <c:valAx>
        <c:axId val="524353677"/>
        <c:scaling>
          <c:orientation val="minMax"/>
        </c:scaling>
        <c:delete val="false"/>
        <c:axPos val="l"/>
        <c:majorGridlines>
          <c:spPr>
            <a:ln w="3175" cap="flat" cmpd="sng" algn="ctr">
              <a:solidFill>
                <a:srgbClr val="EAEAEA"/>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34319260"/>
        <c:crosses val="autoZero"/>
        <c:crossBetween val="between"/>
      </c:valAx>
      <c:spPr>
        <a:noFill/>
        <a:ln>
          <a:noFill/>
        </a:ln>
        <a:effectLst/>
      </c:spPr>
    </c:plotArea>
    <c:legend>
      <c:legendPos val="b"/>
      <c:legendEntry>
        <c:idx val="2"/>
        <c:delete val="true"/>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rgbClr val="EAEAEA"/>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支出决算情况</a:t>
            </a:r>
          </a:p>
        </c:rich>
      </c:tx>
      <c:layout>
        <c:manualLayout>
          <c:xMode val="edge"/>
          <c:yMode val="edge"/>
          <c:x val="0.4405"/>
          <c:y val="0.0171666666666667"/>
        </c:manualLayout>
      </c:layout>
      <c:overlay val="false"/>
      <c:spPr>
        <a:noFill/>
        <a:ln>
          <a:noFill/>
        </a:ln>
        <a:effectLst/>
      </c:spPr>
    </c:title>
    <c:autoTitleDeleted val="false"/>
    <c:plotArea>
      <c:layout/>
      <c:pieChart>
        <c:varyColors val="true"/>
        <c:ser>
          <c:idx val="0"/>
          <c:order val="0"/>
          <c:tx>
            <c:strRef>
              <c:f>Sheet1!$B$1</c:f>
              <c:strCache>
                <c:ptCount val="1"/>
                <c:pt idx="0">
                  <c:v>金额（万元）</c:v>
                </c:pt>
              </c:strCache>
            </c:strRef>
          </c:tx>
          <c:spPr>
            <a:solidFill>
              <a:srgbClr val="789EAF"/>
            </a:solidFill>
            <a:ln w="88900" cap="rnd">
              <a:solidFill>
                <a:schemeClr val="lt1"/>
              </a:solidFill>
            </a:ln>
          </c:spPr>
          <c:explosion val="0"/>
          <c:dPt>
            <c:idx val="0"/>
            <c:bubble3D val="false"/>
            <c:spPr>
              <a:solidFill>
                <a:srgbClr val="789EAF"/>
              </a:solidFill>
              <a:ln w="88900" cap="rnd">
                <a:solidFill>
                  <a:schemeClr val="lt1"/>
                </a:solidFill>
              </a:ln>
              <a:effectLst/>
            </c:spPr>
          </c:dPt>
          <c:dPt>
            <c:idx val="1"/>
            <c:bubble3D val="false"/>
            <c:spPr>
              <a:solidFill>
                <a:schemeClr val="bg1"/>
              </a:solidFill>
              <a:ln w="88900" cap="rnd">
                <a:solidFill>
                  <a:schemeClr val="lt1"/>
                </a:solidFill>
              </a:ln>
              <a:effectLst/>
            </c:spPr>
          </c:dPt>
          <c:dPt>
            <c:idx val="2"/>
            <c:bubble3D val="false"/>
            <c:spPr>
              <a:solidFill>
                <a:srgbClr val="789EAF"/>
              </a:solidFill>
              <a:ln w="88900" cap="rnd">
                <a:solidFill>
                  <a:schemeClr val="lt1"/>
                </a:solidFill>
              </a:ln>
              <a:effectLst/>
            </c:spPr>
          </c:dPt>
          <c:dLbls>
            <c:dLbl>
              <c:idx val="0"/>
              <c:layout/>
              <c:tx>
                <c:rich>
                  <a:bodyPr rot="0" spcFirstLastPara="0" vertOverflow="ellipsis" vert="horz" wrap="square" lIns="38100" tIns="19050" rIns="38100" bIns="19050" anchor="ctr" anchorCtr="true" forceAA="false"/>
                  <a:lstStyle/>
                  <a:p>
                    <a:pPr defTabSz="914400">
                      <a:defRPr lang="zh-CN" sz="900" b="1"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基本支出 </a:t>
                    </a:r>
                    <a:r>
                      <a:rPr lang="en-US" altLang="zh-CN"/>
                      <a:t>15.92</a:t>
                    </a:r>
                    <a:r>
                      <a:t>%</a:t>
                    </a:r>
                  </a:p>
                </c:rich>
              </c:tx>
              <c:dLblPos val="out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forceAA="false"/>
                  <a:lstStyle/>
                  <a:p>
                    <a:pPr defTabSz="914400">
                      <a:defRPr lang="zh-CN" sz="900" b="1"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项目支出</a:t>
                    </a:r>
                    <a:r>
                      <a:rPr lang="en-US" altLang="zh-CN"/>
                      <a:t>36.32</a:t>
                    </a:r>
                    <a:r>
                      <a:t>%</a:t>
                    </a:r>
                  </a:p>
                </c:rich>
              </c:tx>
              <c:dLblPos val="out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forceAA="false"/>
                  <a:lstStyle/>
                  <a:p>
                    <a:pPr defTabSz="914400">
                      <a:defRPr lang="zh-CN" sz="900" b="1"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经营支出 </a:t>
                    </a:r>
                    <a:r>
                      <a:rPr lang="en-US" altLang="zh-CN"/>
                      <a:t>47.76</a:t>
                    </a:r>
                    <a:r>
                      <a:t>%</a:t>
                    </a:r>
                  </a:p>
                </c:rich>
              </c:tx>
              <c:dLblPos val="outEnd"/>
              <c:showLegendKey val="false"/>
              <c:showVal val="false"/>
              <c:showCatName val="true"/>
              <c:showSerName val="false"/>
              <c:showPercent val="true"/>
              <c:showBubbleSize val="false"/>
              <c:separator> </c:separator>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1"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pt idx="2">
                  <c:v>经营支出</c:v>
                </c:pt>
              </c:strCache>
            </c:strRef>
          </c:cat>
          <c:val>
            <c:numRef>
              <c:f>Sheet1!$B$2:$B$4</c:f>
              <c:numCache>
                <c:formatCode>General</c:formatCode>
                <c:ptCount val="3"/>
                <c:pt idx="0">
                  <c:v>248.3</c:v>
                </c:pt>
                <c:pt idx="1">
                  <c:v>566.35</c:v>
                </c:pt>
                <c:pt idx="2">
                  <c:v>744.74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gradFill>
      <a:gsLst>
        <a:gs pos="0">
          <a:srgbClr val="F1F5F6"/>
        </a:gs>
        <a:gs pos="100000">
          <a:srgbClr val="B8CCD3"/>
        </a:gs>
      </a:gsLst>
      <a:lin ang="2700000" scaled="false"/>
    </a:gradFill>
    <a:ln w="9525" cap="flat" cmpd="sng" algn="ctr">
      <a:solidFill>
        <a:srgbClr val="B8CCD3"/>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tru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0" i="0" u="none" strike="noStrike" kern="1200" baseline="0">
                <a:solidFill>
                  <a:schemeClr val="dk1">
                    <a:lumMod val="65000"/>
                    <a:lumOff val="35000"/>
                  </a:schemeClr>
                </a:solidFill>
                <a:effectLst/>
                <a:latin typeface="+mn-lt"/>
                <a:ea typeface="+mn-ea"/>
                <a:cs typeface="+mn-cs"/>
              </a:defRPr>
            </a:pPr>
            <a:r>
              <a:t>财政拨款收、支决算总计</a:t>
            </a:r>
          </a:p>
        </c:rich>
      </c:tx>
      <c:layout>
        <c:manualLayout>
          <c:xMode val="edge"/>
          <c:yMode val="edge"/>
          <c:x val="0.18824230639641"/>
          <c:y val="0.0533744372146833"/>
        </c:manualLayout>
      </c:layout>
      <c:overlay val="false"/>
      <c:spPr>
        <a:noFill/>
        <a:ln>
          <a:noFill/>
        </a:ln>
        <a:effectLst/>
      </c:spPr>
    </c:title>
    <c:autoTitleDeleted val="false"/>
    <c:plotArea>
      <c:layout>
        <c:manualLayout>
          <c:layoutTarget val="inner"/>
          <c:xMode val="edge"/>
          <c:yMode val="edge"/>
          <c:x val="0.1067"/>
          <c:y val="0.264"/>
          <c:w val="0.8213"/>
          <c:h val="0.6059"/>
        </c:manualLayout>
      </c:layout>
      <c:barChart>
        <c:barDir val="col"/>
        <c:grouping val="clustered"/>
        <c:varyColors val="false"/>
        <c:ser>
          <c:idx val="0"/>
          <c:order val="0"/>
          <c:tx>
            <c:strRef>
              <c:f>Sheet1!$B$1</c:f>
              <c:strCache>
                <c:ptCount val="1"/>
                <c:pt idx="0">
                  <c:v>金额</c:v>
                </c:pt>
              </c:strCache>
            </c:strRef>
          </c:tx>
          <c:spPr>
            <a:gradFill>
              <a:gsLst>
                <a:gs pos="30000">
                  <a:schemeClr val="accent1"/>
                </a:gs>
                <a:gs pos="100000">
                  <a:schemeClr val="accent1">
                    <a:lumMod val="84000"/>
                  </a:schemeClr>
                </a:gs>
              </a:gsLst>
              <a:lin ang="5400000" scaled="true"/>
            </a:gradFill>
            <a:ln>
              <a:noFill/>
            </a:ln>
            <a:effectLst>
              <a:outerShdw blurRad="76200" dir="18900000" sy="23000" kx="-1200000" algn="bl" rotWithShape="0">
                <a:prstClr val="black">
                  <a:alpha val="20000"/>
                </a:prstClr>
              </a:outerShdw>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dk1">
                          <a:lumMod val="50000"/>
                          <a:lumOff val="50000"/>
                        </a:schemeClr>
                      </a:solidFill>
                    </a:ln>
                    <a:effectLst/>
                  </c:spPr>
                </c15:leaderLines>
              </c:ext>
            </c:extLst>
          </c:dLbls>
          <c:cat>
            <c:strRef>
              <c:f>Sheet1!$A$2:$A$5</c:f>
              <c:strCache>
                <c:ptCount val="4"/>
                <c:pt idx="1">
                  <c:v>2020年</c:v>
                </c:pt>
                <c:pt idx="2">
                  <c:v>2021年</c:v>
                </c:pt>
              </c:strCache>
            </c:strRef>
          </c:cat>
          <c:val>
            <c:numRef>
              <c:f>Sheet1!$B$2:$B$5</c:f>
              <c:numCache>
                <c:formatCode>General</c:formatCode>
                <c:ptCount val="4"/>
                <c:pt idx="1">
                  <c:v>466.98</c:v>
                </c:pt>
                <c:pt idx="2">
                  <c:v>814.65</c:v>
                </c:pt>
              </c:numCache>
            </c:numRef>
          </c:val>
        </c:ser>
        <c:dLbls>
          <c:showLegendKey val="false"/>
          <c:showVal val="true"/>
          <c:showCatName val="false"/>
          <c:showSerName val="false"/>
          <c:showPercent val="false"/>
          <c:showBubbleSize val="false"/>
        </c:dLbls>
        <c:gapWidth val="41"/>
        <c:overlap val="0"/>
        <c:axId val="302752154"/>
        <c:axId val="300727213"/>
      </c:barChart>
      <c:catAx>
        <c:axId val="302752154"/>
        <c:scaling>
          <c:orientation val="minMax"/>
        </c:scaling>
        <c:delete val="false"/>
        <c:axPos val="b"/>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dk1">
                    <a:lumMod val="65000"/>
                    <a:lumOff val="35000"/>
                  </a:schemeClr>
                </a:solidFill>
                <a:effectLst/>
                <a:latin typeface="+mn-lt"/>
                <a:ea typeface="+mn-ea"/>
                <a:cs typeface="+mn-cs"/>
              </a:defRPr>
            </a:pPr>
          </a:p>
        </c:txPr>
        <c:crossAx val="300727213"/>
        <c:crosses val="autoZero"/>
        <c:auto val="true"/>
        <c:lblAlgn val="ctr"/>
        <c:lblOffset val="100"/>
        <c:noMultiLvlLbl val="false"/>
      </c:catAx>
      <c:valAx>
        <c:axId val="300727213"/>
        <c:scaling>
          <c:orientation val="minMax"/>
        </c:scaling>
        <c:delete val="false"/>
        <c:axPos val="l"/>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crossAx val="302752154"/>
        <c:crosses val="autoZero"/>
        <c:crossBetween val="between"/>
      </c:valAx>
      <c:spPr>
        <a:noFill/>
        <a:ln>
          <a:noFill/>
        </a:ln>
        <a:effectLst/>
      </c:spPr>
    </c:plotArea>
    <c:plotVisOnly val="true"/>
    <c:dispBlanksAs val="gap"/>
    <c:showDLblsOverMax val="false"/>
  </c:chart>
  <c:spPr>
    <a:gradFill flip="none" rotWithShape="true">
      <a:gsLst>
        <a:gs pos="0">
          <a:schemeClr val="lt1"/>
        </a:gs>
        <a:gs pos="68000">
          <a:schemeClr val="lt1">
            <a:lumMod val="85000"/>
          </a:schemeClr>
        </a:gs>
        <a:gs pos="100000">
          <a:schemeClr val="lt1"/>
        </a:gs>
      </a:gsLst>
      <a:lin ang="5400000" scaled="true"/>
    </a:gradFill>
    <a:ln w="9525" cap="flat" cmpd="sng" algn="ctr">
      <a:solidFill>
        <a:schemeClr val="dk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a:t>
            </a:r>
          </a:p>
        </c:rich>
      </c:tx>
      <c:layout/>
      <c:overlay val="false"/>
      <c:spPr>
        <a:noFill/>
        <a:ln>
          <a:noFill/>
        </a:ln>
        <a:effectLst/>
      </c:spPr>
    </c:title>
    <c:autoTitleDeleted val="false"/>
    <c:plotArea>
      <c:layout>
        <c:manualLayout>
          <c:layoutTarget val="inner"/>
          <c:xMode val="edge"/>
          <c:yMode val="edge"/>
          <c:x val="0.124719101123596"/>
          <c:y val="0.271003307607497"/>
          <c:w val="0.795714659001829"/>
          <c:h val="0.603395810363837"/>
        </c:manualLayout>
      </c:layout>
      <c:barChart>
        <c:barDir val="bar"/>
        <c:grouping val="clustered"/>
        <c:varyColors val="false"/>
        <c:ser>
          <c:idx val="0"/>
          <c:order val="0"/>
          <c:tx>
            <c:strRef>
              <c:f>Sheet1!$B$1</c:f>
              <c:strCache>
                <c:ptCount val="1"/>
                <c:pt idx="0">
                  <c:v>金额</c:v>
                </c:pt>
              </c:strCache>
            </c:strRef>
          </c:tx>
          <c:spPr>
            <a:solidFill>
              <a:schemeClr val="accent1">
                <a:alpha val="85000"/>
              </a:schemeClr>
            </a:solidFill>
            <a:ln w="9525" cap="flat" cmpd="sng" algn="ctr">
              <a:solidFill>
                <a:schemeClr val="lt1">
                  <a:alpha val="50000"/>
                </a:schemeClr>
              </a:solidFill>
              <a:round/>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dk1">
                          <a:lumMod val="50000"/>
                          <a:lumOff val="50000"/>
                        </a:schemeClr>
                      </a:solidFill>
                    </a:ln>
                    <a:effectLst/>
                  </c:spPr>
                </c15:leaderLines>
              </c:ext>
            </c:extLst>
          </c:dLbls>
          <c:cat>
            <c:strRef>
              <c:f>Sheet1!$A$4:$A$5</c:f>
              <c:strCache>
                <c:ptCount val="2"/>
                <c:pt idx="0">
                  <c:v>2021年</c:v>
                </c:pt>
                <c:pt idx="1">
                  <c:v>2020年</c:v>
                </c:pt>
              </c:strCache>
            </c:strRef>
          </c:cat>
          <c:val>
            <c:numRef>
              <c:f>Sheet1!$B$4:$B$5</c:f>
              <c:numCache>
                <c:formatCode>General</c:formatCode>
                <c:ptCount val="2"/>
                <c:pt idx="0">
                  <c:v>814.65</c:v>
                </c:pt>
                <c:pt idx="1">
                  <c:v>466.98</c:v>
                </c:pt>
              </c:numCache>
            </c:numRef>
          </c:val>
        </c:ser>
        <c:ser>
          <c:idx val="1"/>
          <c:order val="1"/>
          <c:tx>
            <c:strRef>
              <c:f>Sheet1!$C$1</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dk1">
                          <a:lumMod val="50000"/>
                          <a:lumOff val="50000"/>
                        </a:schemeClr>
                      </a:solidFill>
                    </a:ln>
                    <a:effectLst/>
                  </c:spPr>
                </c15:leaderLines>
              </c:ext>
            </c:extLst>
          </c:dLbls>
          <c:cat>
            <c:strRef>
              <c:f>Sheet1!$A$4:$A$5</c:f>
              <c:strCache>
                <c:ptCount val="2"/>
                <c:pt idx="0">
                  <c:v>2021年</c:v>
                </c:pt>
                <c:pt idx="1">
                  <c:v>2020年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dk1">
                          <a:lumMod val="50000"/>
                          <a:lumOff val="50000"/>
                        </a:schemeClr>
                      </a:solidFill>
                    </a:ln>
                    <a:effectLst/>
                  </c:spPr>
                </c15:leaderLines>
              </c:ext>
            </c:extLst>
          </c:dLbls>
          <c:cat>
            <c:strRef>
              <c:f>Sheet1!$A$4:$A$5</c:f>
              <c:strCache>
                <c:ptCount val="2"/>
                <c:pt idx="0">
                  <c:v>2021年</c:v>
                </c:pt>
                <c:pt idx="1">
                  <c:v>2020年</c:v>
                </c:pt>
              </c:strCache>
            </c:strRef>
          </c:cat>
          <c:val>
            <c:numRef>
              <c:f>Sheet1!$D$2:$D$5</c:f>
              <c:numCache>
                <c:formatCode>General</c:formatCode>
                <c:ptCount val="4"/>
              </c:numCache>
            </c:numRef>
          </c:val>
        </c:ser>
        <c:dLbls>
          <c:showLegendKey val="false"/>
          <c:showVal val="true"/>
          <c:showCatName val="false"/>
          <c:showSerName val="false"/>
          <c:showPercent val="false"/>
          <c:showBubbleSize val="false"/>
        </c:dLbls>
        <c:gapWidth val="65"/>
        <c:overlap val="0"/>
        <c:axId val="460315913"/>
        <c:axId val="914855139"/>
      </c:barChart>
      <c:catAx>
        <c:axId val="460315913"/>
        <c:scaling>
          <c:orientation val="minMax"/>
        </c:scaling>
        <c:delete val="false"/>
        <c:axPos val="l"/>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914855139"/>
        <c:crosses val="autoZero"/>
        <c:auto val="true"/>
        <c:lblAlgn val="ctr"/>
        <c:lblOffset val="100"/>
        <c:noMultiLvlLbl val="false"/>
      </c:catAx>
      <c:valAx>
        <c:axId val="914855139"/>
        <c:scaling>
          <c:orientation val="minMax"/>
        </c:scaling>
        <c:delete val="false"/>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460315913"/>
        <c:crosses val="autoZero"/>
        <c:crossBetween val="between"/>
      </c:valAx>
      <c:spPr>
        <a:noFill/>
        <a:ln>
          <a:noFill/>
        </a:ln>
        <a:effectLst/>
      </c:spPr>
    </c:plotArea>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a:t>
            </a:r>
          </a:p>
        </c:rich>
      </c:tx>
      <c:layout>
        <c:manualLayout>
          <c:xMode val="edge"/>
          <c:yMode val="edge"/>
          <c:x val="0.249625"/>
          <c:y val="0.023"/>
        </c:manualLayout>
      </c:layout>
      <c:overlay val="false"/>
      <c:spPr>
        <a:noFill/>
        <a:ln>
          <a:noFill/>
        </a:ln>
        <a:effectLst/>
      </c:spPr>
    </c:title>
    <c:autoTitleDeleted val="false"/>
    <c:plotArea>
      <c:layout>
        <c:manualLayout>
          <c:layoutTarget val="inner"/>
          <c:xMode val="edge"/>
          <c:yMode val="edge"/>
          <c:x val="0.293016666666667"/>
          <c:y val="0.155787037037037"/>
          <c:w val="0.420494444444444"/>
          <c:h val="0.700824074074074"/>
        </c:manualLayout>
      </c:layout>
      <c:pieChart>
        <c:varyColors val="true"/>
        <c:ser>
          <c:idx val="0"/>
          <c:order val="0"/>
          <c:tx>
            <c:strRef>
              <c:f>Sheet1!$B$1</c:f>
              <c:strCache>
                <c:ptCount val="1"/>
                <c:pt idx="0">
                  <c:v>金额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0"/>
              <c:layout>
                <c:manualLayout>
                  <c:x val="-0.143917559027021"/>
                  <c:y val="0.00897748424793364"/>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48.42%</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delete val="true"/>
            </c:dLbl>
            <c:dLbl>
              <c:idx val="2"/>
              <c:layout>
                <c:manualLayout>
                  <c:x val="0.00568235587616371"/>
                  <c:y val="-0.00832357151208051"/>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5.94%</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00785386141504657"/>
                  <c:y val="-0.0018896873718057"/>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2.97%</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4"/>
              <c:layout>
                <c:manualLayout>
                  <c:x val="0.144477242044851"/>
                  <c:y val="0.042558667202093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42.42%</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一般公共服务（类）</c:v>
                </c:pt>
                <c:pt idx="1">
                  <c:v>教育支出（类）</c:v>
                </c:pt>
                <c:pt idx="2">
                  <c:v>社会保障和就业（类）</c:v>
                </c:pt>
                <c:pt idx="3">
                  <c:v>住房保障支出</c:v>
                </c:pt>
                <c:pt idx="4">
                  <c:v>商业服务业等支出（类）</c:v>
                </c:pt>
              </c:strCache>
            </c:strRef>
          </c:cat>
          <c:val>
            <c:numRef>
              <c:f>Sheet1!$B$2:$B$6</c:f>
              <c:numCache>
                <c:formatCode>General</c:formatCode>
                <c:ptCount val="5"/>
                <c:pt idx="0">
                  <c:v>394.43</c:v>
                </c:pt>
                <c:pt idx="1">
                  <c:v>2</c:v>
                </c:pt>
                <c:pt idx="2">
                  <c:v>48.39</c:v>
                </c:pt>
                <c:pt idx="3">
                  <c:v>24.19</c:v>
                </c:pt>
                <c:pt idx="4">
                  <c:v>345.64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Sheet1!$A$2:$A$4</c:f>
              <c:strCache>
                <c:ptCount val="3"/>
                <c:pt idx="0">
                  <c:v>因公出国（境）经费支出</c:v>
                </c:pt>
                <c:pt idx="1">
                  <c:v>公务用车购置及运行维护支出</c:v>
                </c:pt>
                <c:pt idx="2">
                  <c:v>公务接待费支出</c:v>
                </c:pt>
              </c:strCache>
            </c:strRef>
          </c:cat>
          <c:val>
            <c:numRef>
              <c:f>Sheet1!$B$2:$B$4</c:f>
              <c:numCache>
                <c:formatCode>General</c:formatCode>
                <c:ptCount val="3"/>
                <c:pt idx="0">
                  <c:v>0</c:v>
                </c:pt>
                <c:pt idx="1">
                  <c:v>0</c:v>
                </c:pt>
                <c:pt idx="2">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true">
        <a:gsLst>
          <a:gs pos="0">
            <a:schemeClr val="lt1"/>
          </a:gs>
          <a:gs pos="68000">
            <a:schemeClr val="lt1">
              <a:lumMod val="85000"/>
            </a:schemeClr>
          </a:gs>
          <a:gs pos="100000">
            <a:schemeClr val="lt1"/>
          </a:gs>
        </a:gsLst>
        <a:lin ang="5400000" scaled="true"/>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true">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true"/>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true"/>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true"/>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true"/>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8282</Words>
  <Characters>8769</Characters>
  <Lines>61</Lines>
  <Paragraphs>17</Paragraphs>
  <TotalTime>95</TotalTime>
  <ScaleCrop>false</ScaleCrop>
  <LinksUpToDate>false</LinksUpToDate>
  <CharactersWithSpaces>10236</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2020-08-07T09:49:00Z</dcterms:created>
  <dc:creator>曹颖</dc:creator>
  <cp:lastModifiedBy>user</cp:lastModifiedBy>
  <cp:lastPrinted>2023-09-13T14:50:00Z</cp:lastPrinted>
  <dcterms:modified xsi:type="dcterms:W3CDTF">2023-09-13T17:54:37Z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9469048AD6A747F9A666437EBEBA45AF_13</vt:lpwstr>
  </property>
</Properties>
</file>