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adjustRightInd w:val="0"/>
        <w:snapToGrid w:val="0"/>
        <w:spacing w:line="360" w:lineRule="auto"/>
        <w:jc w:val="center"/>
        <w:rPr>
          <w:rFonts w:ascii="黑体" w:hAnsi="黑体" w:eastAsia="黑体" w:cs="Times New Roman"/>
          <w:sz w:val="72"/>
          <w:szCs w:val="72"/>
        </w:rPr>
      </w:pPr>
      <w:bookmarkStart w:id="0" w:name="_Toc15377193"/>
      <w:bookmarkStart w:id="1" w:name="_Toc15378441"/>
      <w:bookmarkStart w:id="2" w:name="_Toc15377425"/>
      <w:bookmarkStart w:id="3" w:name="_Toc15396475"/>
      <w:bookmarkStart w:id="4" w:name="_Toc15396597"/>
    </w:p>
    <w:p>
      <w:pPr>
        <w:adjustRightInd w:val="0"/>
        <w:snapToGrid w:val="0"/>
        <w:spacing w:line="360" w:lineRule="auto"/>
        <w:jc w:val="center"/>
        <w:rPr>
          <w:rFonts w:ascii="黑体" w:hAnsi="黑体" w:eastAsia="黑体" w:cs="Times New Roman"/>
          <w:sz w:val="72"/>
          <w:szCs w:val="72"/>
        </w:rPr>
      </w:pPr>
      <w:r>
        <w:rPr>
          <w:rFonts w:ascii="Times New Roman" w:hAnsi="Times New Roman" w:eastAsia="方正小标宋简体" w:cs="Times New Roman"/>
          <w:sz w:val="72"/>
          <w:szCs w:val="72"/>
        </w:rPr>
        <w:t>2020</w:t>
      </w:r>
      <w:r>
        <w:rPr>
          <w:rFonts w:hint="eastAsia" w:ascii="方正小标宋简体" w:hAnsi="宋体" w:eastAsia="方正小标宋简体" w:cs="Times New Roman"/>
          <w:sz w:val="72"/>
          <w:szCs w:val="72"/>
        </w:rPr>
        <w:t>年度</w:t>
      </w:r>
      <w:bookmarkEnd w:id="0"/>
      <w:bookmarkEnd w:id="1"/>
      <w:bookmarkEnd w:id="2"/>
      <w:bookmarkEnd w:id="3"/>
      <w:bookmarkEnd w:id="4"/>
      <w:bookmarkStart w:id="5" w:name="_Toc15377194"/>
      <w:bookmarkStart w:id="6" w:name="_Toc15396476"/>
      <w:bookmarkStart w:id="7" w:name="_Toc15396598"/>
      <w:bookmarkStart w:id="8" w:name="_Toc15377426"/>
      <w:bookmarkStart w:id="9" w:name="_Toc15378442"/>
    </w:p>
    <w:p>
      <w:pPr>
        <w:adjustRightInd w:val="0"/>
        <w:snapToGrid w:val="0"/>
        <w:spacing w:line="360" w:lineRule="auto"/>
        <w:jc w:val="center"/>
        <w:rPr>
          <w:rFonts w:ascii="方正小标宋简体" w:hAnsi="宋体" w:eastAsia="方正小标宋简体" w:cs="Times New Roman"/>
          <w:sz w:val="72"/>
          <w:szCs w:val="72"/>
        </w:rPr>
      </w:pPr>
      <w:r>
        <w:rPr>
          <w:rFonts w:hint="eastAsia" w:ascii="方正小标宋简体" w:hAnsi="宋体" w:eastAsia="方正小标宋简体" w:cs="Times New Roman"/>
          <w:sz w:val="72"/>
          <w:szCs w:val="72"/>
        </w:rPr>
        <w:t>四川省</w:t>
      </w:r>
      <w:bookmarkStart w:id="10" w:name="_Toc15306268"/>
      <w:r>
        <w:rPr>
          <w:rFonts w:hint="eastAsia" w:ascii="方正小标宋简体" w:hAnsi="宋体" w:eastAsia="方正小标宋简体" w:cs="Times New Roman"/>
          <w:sz w:val="72"/>
          <w:szCs w:val="72"/>
        </w:rPr>
        <w:t>商务厅机关服务中心单位决算</w:t>
      </w:r>
      <w:bookmarkEnd w:id="5"/>
      <w:bookmarkEnd w:id="6"/>
      <w:bookmarkEnd w:id="7"/>
      <w:bookmarkEnd w:id="8"/>
      <w:bookmarkEnd w:id="9"/>
      <w:bookmarkEnd w:id="10"/>
    </w:p>
    <w:p/>
    <w:p/>
    <w:p/>
    <w:p/>
    <w:p/>
    <w:p/>
    <w:p/>
    <w:p/>
    <w:p/>
    <w:p/>
    <w:p/>
    <w:p/>
    <w:p/>
    <w:p/>
    <w:p/>
    <w:p/>
    <w:p/>
    <w:p/>
    <w:p/>
    <w:p/>
    <w:p/>
    <w:p/>
    <w:p/>
    <w:p/>
    <w:p/>
    <w:p/>
    <w:p>
      <w:pPr>
        <w:jc w:val="center"/>
        <w:rPr>
          <w:sz w:val="48"/>
          <w:szCs w:val="48"/>
        </w:rPr>
      </w:pPr>
    </w:p>
    <w:p>
      <w:pPr>
        <w:jc w:val="center"/>
        <w:rPr>
          <w:sz w:val="48"/>
          <w:szCs w:val="48"/>
        </w:rPr>
      </w:pPr>
      <w:r>
        <w:rPr>
          <w:rFonts w:hint="eastAsia"/>
          <w:sz w:val="48"/>
          <w:szCs w:val="48"/>
        </w:rPr>
        <w:t>目录</w:t>
      </w:r>
    </w:p>
    <w:p>
      <w:pPr>
        <w:jc w:val="center"/>
      </w:pPr>
    </w:p>
    <w:p>
      <w:pPr>
        <w:jc w:val="center"/>
      </w:pPr>
      <w:r>
        <w:rPr>
          <w:rFonts w:hint="eastAsia"/>
          <w:sz w:val="28"/>
          <w:szCs w:val="28"/>
        </w:rPr>
        <w:t>公开时间：2021年9月10日</w:t>
      </w:r>
    </w:p>
    <w:p/>
    <w:sdt>
      <w:sdtPr>
        <w:rPr>
          <w:rFonts w:ascii="宋体" w:hAnsi="宋体" w:eastAsia="宋体"/>
        </w:rPr>
        <w:id w:val="147464601"/>
        <w:docPartObj>
          <w:docPartGallery w:val="Table of Contents"/>
          <w:docPartUnique/>
        </w:docPartObj>
      </w:sdtPr>
      <w:sdtEndPr>
        <w:rPr>
          <w:rFonts w:asciiTheme="minorHAnsi" w:hAnsiTheme="minorHAnsi" w:eastAsiaTheme="minorEastAsia"/>
          <w:b/>
        </w:rPr>
      </w:sdtEndPr>
      <w:sdtContent>
        <w:p>
          <w:pPr>
            <w:jc w:val="center"/>
          </w:pPr>
        </w:p>
        <w:p>
          <w:pPr>
            <w:pStyle w:val="9"/>
            <w:tabs>
              <w:tab w:val="right" w:leader="dot" w:pos="8306"/>
            </w:tabs>
          </w:pPr>
          <w:r>
            <w:fldChar w:fldCharType="begin"/>
          </w:r>
          <w:r>
            <w:instrText xml:space="preserve">TOC \o "1-2" \h \u </w:instrText>
          </w:r>
          <w:r>
            <w:fldChar w:fldCharType="separate"/>
          </w:r>
          <w:r>
            <w:fldChar w:fldCharType="begin"/>
          </w:r>
          <w:r>
            <w:instrText xml:space="preserve"> HYPERLINK \l _Toc15061 </w:instrText>
          </w:r>
          <w:r>
            <w:fldChar w:fldCharType="separate"/>
          </w:r>
          <w:r>
            <w:rPr>
              <w:rFonts w:hint="eastAsia" w:ascii="黑体" w:hAnsi="黑体" w:eastAsia="黑体"/>
            </w:rPr>
            <w:t>第一部分 单位</w:t>
          </w:r>
          <w:r>
            <w:rPr>
              <w:rFonts w:hint="eastAsia" w:ascii="黑体" w:hAnsi="黑体" w:eastAsia="黑体"/>
              <w:bCs w:val="0"/>
            </w:rPr>
            <w:t>概况</w:t>
          </w:r>
          <w:r>
            <w:tab/>
          </w:r>
          <w:r>
            <w:fldChar w:fldCharType="begin"/>
          </w:r>
          <w:r>
            <w:instrText xml:space="preserve"> PAGEREF _Toc15061 \h </w:instrText>
          </w:r>
          <w:r>
            <w:fldChar w:fldCharType="separate"/>
          </w:r>
          <w:r>
            <w:t>4</w:t>
          </w:r>
          <w:r>
            <w:fldChar w:fldCharType="end"/>
          </w:r>
          <w:r>
            <w:fldChar w:fldCharType="end"/>
          </w:r>
        </w:p>
        <w:p>
          <w:pPr>
            <w:pStyle w:val="10"/>
            <w:tabs>
              <w:tab w:val="right" w:leader="dot" w:pos="8306"/>
            </w:tabs>
          </w:pPr>
          <w:r>
            <w:fldChar w:fldCharType="begin"/>
          </w:r>
          <w:r>
            <w:instrText xml:space="preserve"> HYPERLINK \l _Toc28654 </w:instrText>
          </w:r>
          <w:r>
            <w:fldChar w:fldCharType="separate"/>
          </w:r>
          <w:r>
            <w:rPr>
              <w:rFonts w:hint="eastAsia" w:ascii="黑体" w:hAnsi="黑体" w:eastAsia="黑体"/>
              <w:bCs w:val="0"/>
              <w:kern w:val="2"/>
            </w:rPr>
            <w:t>一、职能简介</w:t>
          </w:r>
          <w:r>
            <w:tab/>
          </w:r>
          <w:r>
            <w:fldChar w:fldCharType="begin"/>
          </w:r>
          <w:r>
            <w:instrText xml:space="preserve"> PAGEREF _Toc28654 \h </w:instrText>
          </w:r>
          <w:r>
            <w:fldChar w:fldCharType="separate"/>
          </w:r>
          <w:r>
            <w:t>4</w:t>
          </w:r>
          <w:r>
            <w:fldChar w:fldCharType="end"/>
          </w:r>
          <w:r>
            <w:fldChar w:fldCharType="end"/>
          </w:r>
        </w:p>
        <w:p>
          <w:pPr>
            <w:pStyle w:val="10"/>
            <w:tabs>
              <w:tab w:val="right" w:leader="dot" w:pos="8306"/>
            </w:tabs>
          </w:pPr>
          <w:r>
            <w:fldChar w:fldCharType="begin"/>
          </w:r>
          <w:r>
            <w:instrText xml:space="preserve"> HYPERLINK \l _Toc28339 </w:instrText>
          </w:r>
          <w:r>
            <w:fldChar w:fldCharType="separate"/>
          </w:r>
          <w:r>
            <w:rPr>
              <w:rFonts w:hint="eastAsia" w:ascii="黑体" w:hAnsi="黑体" w:eastAsia="黑体"/>
              <w:bCs w:val="0"/>
              <w:kern w:val="2"/>
            </w:rPr>
            <w:t>二、2020年重点工作完成情况</w:t>
          </w:r>
          <w:r>
            <w:tab/>
          </w:r>
          <w:r>
            <w:fldChar w:fldCharType="begin"/>
          </w:r>
          <w:r>
            <w:instrText xml:space="preserve"> PAGEREF _Toc28339 \h </w:instrText>
          </w:r>
          <w:r>
            <w:fldChar w:fldCharType="separate"/>
          </w:r>
          <w:r>
            <w:t>4</w:t>
          </w:r>
          <w:r>
            <w:fldChar w:fldCharType="end"/>
          </w:r>
          <w:r>
            <w:fldChar w:fldCharType="end"/>
          </w:r>
        </w:p>
        <w:p>
          <w:pPr>
            <w:pStyle w:val="10"/>
            <w:tabs>
              <w:tab w:val="right" w:leader="dot" w:pos="8306"/>
            </w:tabs>
          </w:pPr>
          <w:r>
            <w:fldChar w:fldCharType="begin"/>
          </w:r>
          <w:r>
            <w:instrText xml:space="preserve"> HYPERLINK \l _Toc32614 </w:instrText>
          </w:r>
          <w:r>
            <w:fldChar w:fldCharType="separate"/>
          </w:r>
          <w:r>
            <w:rPr>
              <w:rFonts w:hint="eastAsia" w:ascii="黑体" w:hAnsi="黑体" w:eastAsia="黑体"/>
              <w:bCs w:val="0"/>
              <w:kern w:val="2"/>
              <w:lang w:eastAsia="zh-CN"/>
            </w:rPr>
            <w:t>三</w:t>
          </w:r>
          <w:r>
            <w:rPr>
              <w:rFonts w:hint="eastAsia" w:ascii="黑体" w:hAnsi="黑体" w:eastAsia="黑体"/>
              <w:bCs w:val="0"/>
              <w:kern w:val="2"/>
            </w:rPr>
            <w:t>、</w:t>
          </w:r>
          <w:r>
            <w:rPr>
              <w:rFonts w:hint="eastAsia" w:ascii="黑体" w:hAnsi="黑体" w:eastAsia="黑体"/>
              <w:bCs w:val="0"/>
              <w:kern w:val="2"/>
              <w:lang w:eastAsia="zh-CN"/>
            </w:rPr>
            <w:t>机构设置</w:t>
          </w:r>
          <w:r>
            <w:rPr>
              <w:rFonts w:hint="eastAsia" w:ascii="黑体" w:hAnsi="黑体" w:eastAsia="黑体"/>
              <w:bCs w:val="0"/>
              <w:kern w:val="2"/>
            </w:rPr>
            <w:t>情况</w:t>
          </w:r>
          <w:r>
            <w:tab/>
          </w:r>
          <w:r>
            <w:fldChar w:fldCharType="begin"/>
          </w:r>
          <w:r>
            <w:instrText xml:space="preserve"> PAGEREF _Toc32614 \h </w:instrText>
          </w:r>
          <w:r>
            <w:fldChar w:fldCharType="separate"/>
          </w:r>
          <w:r>
            <w:t>7</w:t>
          </w:r>
          <w:r>
            <w:fldChar w:fldCharType="end"/>
          </w:r>
          <w:r>
            <w:fldChar w:fldCharType="end"/>
          </w:r>
        </w:p>
        <w:p>
          <w:pPr>
            <w:pStyle w:val="9"/>
            <w:tabs>
              <w:tab w:val="right" w:leader="dot" w:pos="8306"/>
            </w:tabs>
          </w:pPr>
          <w:r>
            <w:fldChar w:fldCharType="begin"/>
          </w:r>
          <w:r>
            <w:instrText xml:space="preserve"> HYPERLINK \l _Toc12476 </w:instrText>
          </w:r>
          <w:r>
            <w:fldChar w:fldCharType="separate"/>
          </w:r>
          <w:r>
            <w:rPr>
              <w:rFonts w:hint="eastAsia" w:ascii="黑体" w:hAnsi="黑体" w:eastAsia="黑体"/>
            </w:rPr>
            <w:t>第二部分 2020年度</w:t>
          </w:r>
          <w:r>
            <w:rPr>
              <w:rFonts w:hint="eastAsia" w:ascii="黑体" w:hAnsi="黑体" w:eastAsia="黑体"/>
              <w:bCs w:val="0"/>
            </w:rPr>
            <w:t>单位决算情况说明</w:t>
          </w:r>
          <w:r>
            <w:tab/>
          </w:r>
          <w:r>
            <w:fldChar w:fldCharType="begin"/>
          </w:r>
          <w:r>
            <w:instrText xml:space="preserve"> PAGEREF _Toc12476 \h </w:instrText>
          </w:r>
          <w:r>
            <w:fldChar w:fldCharType="separate"/>
          </w:r>
          <w:r>
            <w:t>8</w:t>
          </w:r>
          <w:r>
            <w:fldChar w:fldCharType="end"/>
          </w:r>
          <w:r>
            <w:fldChar w:fldCharType="end"/>
          </w:r>
        </w:p>
        <w:p>
          <w:pPr>
            <w:pStyle w:val="10"/>
            <w:tabs>
              <w:tab w:val="right" w:leader="dot" w:pos="8306"/>
            </w:tabs>
          </w:pPr>
          <w:r>
            <w:fldChar w:fldCharType="begin"/>
          </w:r>
          <w:r>
            <w:instrText xml:space="preserve"> HYPERLINK \l _Toc4888 </w:instrText>
          </w:r>
          <w:r>
            <w:fldChar w:fldCharType="separate"/>
          </w:r>
          <w:r>
            <w:rPr>
              <w:rFonts w:hint="default" w:ascii="黑体" w:hAnsi="黑体" w:eastAsia="黑体"/>
            </w:rPr>
            <w:t xml:space="preserve">一、 </w:t>
          </w:r>
          <w:r>
            <w:rPr>
              <w:rFonts w:hint="eastAsia" w:ascii="黑体" w:hAnsi="黑体" w:eastAsia="黑体"/>
            </w:rPr>
            <w:t>收入支出决算总体情况说明</w:t>
          </w:r>
          <w:r>
            <w:tab/>
          </w:r>
          <w:r>
            <w:fldChar w:fldCharType="begin"/>
          </w:r>
          <w:r>
            <w:instrText xml:space="preserve"> PAGEREF _Toc4888 \h </w:instrText>
          </w:r>
          <w:r>
            <w:fldChar w:fldCharType="separate"/>
          </w:r>
          <w:r>
            <w:t>8</w:t>
          </w:r>
          <w:r>
            <w:fldChar w:fldCharType="end"/>
          </w:r>
          <w:r>
            <w:fldChar w:fldCharType="end"/>
          </w:r>
        </w:p>
        <w:p>
          <w:pPr>
            <w:pStyle w:val="10"/>
            <w:tabs>
              <w:tab w:val="right" w:leader="dot" w:pos="8306"/>
            </w:tabs>
          </w:pPr>
          <w:r>
            <w:fldChar w:fldCharType="begin"/>
          </w:r>
          <w:r>
            <w:instrText xml:space="preserve"> HYPERLINK \l _Toc26328 </w:instrText>
          </w:r>
          <w:r>
            <w:fldChar w:fldCharType="separate"/>
          </w:r>
          <w:r>
            <w:rPr>
              <w:rFonts w:hint="eastAsia" w:ascii="黑体" w:hAnsi="黑体" w:eastAsia="黑体"/>
            </w:rPr>
            <w:t>二、收入决算情况说明</w:t>
          </w:r>
          <w:r>
            <w:tab/>
          </w:r>
          <w:r>
            <w:fldChar w:fldCharType="begin"/>
          </w:r>
          <w:r>
            <w:instrText xml:space="preserve"> PAGEREF _Toc26328 \h </w:instrText>
          </w:r>
          <w:r>
            <w:fldChar w:fldCharType="separate"/>
          </w:r>
          <w:r>
            <w:t>8</w:t>
          </w:r>
          <w:r>
            <w:fldChar w:fldCharType="end"/>
          </w:r>
          <w:r>
            <w:fldChar w:fldCharType="end"/>
          </w:r>
        </w:p>
        <w:p>
          <w:pPr>
            <w:pStyle w:val="10"/>
            <w:tabs>
              <w:tab w:val="right" w:leader="dot" w:pos="8306"/>
            </w:tabs>
          </w:pPr>
          <w:r>
            <w:fldChar w:fldCharType="begin"/>
          </w:r>
          <w:r>
            <w:instrText xml:space="preserve"> HYPERLINK \l _Toc8526 </w:instrText>
          </w:r>
          <w:r>
            <w:fldChar w:fldCharType="separate"/>
          </w:r>
          <w:r>
            <w:rPr>
              <w:rFonts w:hint="eastAsia" w:ascii="黑体" w:hAnsi="黑体" w:eastAsia="黑体"/>
            </w:rPr>
            <w:t>三、支出决算情况说明</w:t>
          </w:r>
          <w:r>
            <w:tab/>
          </w:r>
          <w:r>
            <w:fldChar w:fldCharType="begin"/>
          </w:r>
          <w:r>
            <w:instrText xml:space="preserve"> PAGEREF _Toc8526 \h </w:instrText>
          </w:r>
          <w:r>
            <w:fldChar w:fldCharType="separate"/>
          </w:r>
          <w:r>
            <w:t>9</w:t>
          </w:r>
          <w:r>
            <w:fldChar w:fldCharType="end"/>
          </w:r>
          <w:r>
            <w:fldChar w:fldCharType="end"/>
          </w:r>
        </w:p>
        <w:p>
          <w:pPr>
            <w:pStyle w:val="10"/>
            <w:tabs>
              <w:tab w:val="right" w:leader="dot" w:pos="8306"/>
            </w:tabs>
          </w:pPr>
          <w:r>
            <w:fldChar w:fldCharType="begin"/>
          </w:r>
          <w:r>
            <w:instrText xml:space="preserve"> HYPERLINK \l _Toc7740 </w:instrText>
          </w:r>
          <w:r>
            <w:fldChar w:fldCharType="separate"/>
          </w:r>
          <w:r>
            <w:rPr>
              <w:rFonts w:hint="eastAsia" w:ascii="黑体" w:hAnsi="黑体" w:eastAsia="黑体"/>
            </w:rPr>
            <w:t>四、财政拨款收入支出决算总体情况说明</w:t>
          </w:r>
          <w:r>
            <w:tab/>
          </w:r>
          <w:r>
            <w:fldChar w:fldCharType="begin"/>
          </w:r>
          <w:r>
            <w:instrText xml:space="preserve"> PAGEREF _Toc7740 \h </w:instrText>
          </w:r>
          <w:r>
            <w:fldChar w:fldCharType="separate"/>
          </w:r>
          <w:r>
            <w:t>10</w:t>
          </w:r>
          <w:r>
            <w:fldChar w:fldCharType="end"/>
          </w:r>
          <w:r>
            <w:fldChar w:fldCharType="end"/>
          </w:r>
        </w:p>
        <w:p>
          <w:pPr>
            <w:pStyle w:val="10"/>
            <w:tabs>
              <w:tab w:val="right" w:leader="dot" w:pos="8306"/>
            </w:tabs>
          </w:pPr>
          <w:r>
            <w:fldChar w:fldCharType="begin"/>
          </w:r>
          <w:r>
            <w:instrText xml:space="preserve"> HYPERLINK \l _Toc31276 </w:instrText>
          </w:r>
          <w:r>
            <w:fldChar w:fldCharType="separate"/>
          </w:r>
          <w:r>
            <w:rPr>
              <w:rFonts w:hint="eastAsia" w:ascii="黑体" w:hAnsi="黑体" w:eastAsia="黑体"/>
            </w:rPr>
            <w:t>五、一般公共预算财政拨款支出决算情况说明</w:t>
          </w:r>
          <w:r>
            <w:tab/>
          </w:r>
          <w:r>
            <w:fldChar w:fldCharType="begin"/>
          </w:r>
          <w:r>
            <w:instrText xml:space="preserve"> PAGEREF _Toc31276 \h </w:instrText>
          </w:r>
          <w:r>
            <w:fldChar w:fldCharType="separate"/>
          </w:r>
          <w:r>
            <w:t>11</w:t>
          </w:r>
          <w:r>
            <w:fldChar w:fldCharType="end"/>
          </w:r>
          <w:r>
            <w:fldChar w:fldCharType="end"/>
          </w:r>
        </w:p>
        <w:p>
          <w:pPr>
            <w:pStyle w:val="10"/>
            <w:tabs>
              <w:tab w:val="right" w:leader="dot" w:pos="8306"/>
            </w:tabs>
          </w:pPr>
          <w:r>
            <w:fldChar w:fldCharType="begin"/>
          </w:r>
          <w:r>
            <w:instrText xml:space="preserve"> HYPERLINK \l _Toc10017 </w:instrText>
          </w:r>
          <w:r>
            <w:fldChar w:fldCharType="separate"/>
          </w:r>
          <w:r>
            <w:rPr>
              <w:rFonts w:hint="eastAsia" w:ascii="黑体" w:hAnsi="黑体" w:eastAsia="黑体"/>
            </w:rPr>
            <w:t>六、一般公共预算财政拨款基本支出决算情况说明</w:t>
          </w:r>
          <w:r>
            <w:tab/>
          </w:r>
          <w:r>
            <w:fldChar w:fldCharType="begin"/>
          </w:r>
          <w:r>
            <w:instrText xml:space="preserve"> PAGEREF _Toc10017 \h </w:instrText>
          </w:r>
          <w:r>
            <w:fldChar w:fldCharType="separate"/>
          </w:r>
          <w:r>
            <w:t>13</w:t>
          </w:r>
          <w:r>
            <w:fldChar w:fldCharType="end"/>
          </w:r>
          <w:r>
            <w:fldChar w:fldCharType="end"/>
          </w:r>
        </w:p>
        <w:p>
          <w:pPr>
            <w:pStyle w:val="10"/>
            <w:tabs>
              <w:tab w:val="right" w:leader="dot" w:pos="8306"/>
            </w:tabs>
          </w:pPr>
          <w:r>
            <w:fldChar w:fldCharType="begin"/>
          </w:r>
          <w:r>
            <w:instrText xml:space="preserve"> HYPERLINK \l _Toc29478 </w:instrText>
          </w:r>
          <w:r>
            <w:fldChar w:fldCharType="separate"/>
          </w:r>
          <w:r>
            <w:rPr>
              <w:rFonts w:hint="eastAsia" w:ascii="黑体" w:hAnsi="黑体" w:eastAsia="黑体"/>
            </w:rPr>
            <w:t>七、“三公”经费财政拨款支出决算情况说明</w:t>
          </w:r>
          <w:r>
            <w:tab/>
          </w:r>
          <w:r>
            <w:fldChar w:fldCharType="begin"/>
          </w:r>
          <w:r>
            <w:instrText xml:space="preserve"> PAGEREF _Toc29478 \h </w:instrText>
          </w:r>
          <w:r>
            <w:fldChar w:fldCharType="separate"/>
          </w:r>
          <w:r>
            <w:t>14</w:t>
          </w:r>
          <w:r>
            <w:fldChar w:fldCharType="end"/>
          </w:r>
          <w:r>
            <w:fldChar w:fldCharType="end"/>
          </w:r>
        </w:p>
        <w:p>
          <w:pPr>
            <w:pStyle w:val="10"/>
            <w:tabs>
              <w:tab w:val="right" w:leader="dot" w:pos="8306"/>
            </w:tabs>
          </w:pPr>
          <w:r>
            <w:fldChar w:fldCharType="begin"/>
          </w:r>
          <w:r>
            <w:instrText xml:space="preserve"> HYPERLINK \l _Toc5847 </w:instrText>
          </w:r>
          <w:r>
            <w:fldChar w:fldCharType="separate"/>
          </w:r>
          <w:r>
            <w:rPr>
              <w:rFonts w:hint="eastAsia" w:ascii="黑体" w:hAnsi="黑体" w:eastAsia="黑体"/>
            </w:rPr>
            <w:t>八、政府性基金预算支出决算情况说明</w:t>
          </w:r>
          <w:r>
            <w:tab/>
          </w:r>
          <w:r>
            <w:fldChar w:fldCharType="begin"/>
          </w:r>
          <w:r>
            <w:instrText xml:space="preserve"> PAGEREF _Toc5847 \h </w:instrText>
          </w:r>
          <w:r>
            <w:fldChar w:fldCharType="separate"/>
          </w:r>
          <w:r>
            <w:t>15</w:t>
          </w:r>
          <w:r>
            <w:fldChar w:fldCharType="end"/>
          </w:r>
          <w:r>
            <w:fldChar w:fldCharType="end"/>
          </w:r>
        </w:p>
        <w:p>
          <w:pPr>
            <w:pStyle w:val="10"/>
            <w:tabs>
              <w:tab w:val="right" w:leader="dot" w:pos="8306"/>
            </w:tabs>
          </w:pPr>
          <w:r>
            <w:fldChar w:fldCharType="begin"/>
          </w:r>
          <w:r>
            <w:instrText xml:space="preserve"> HYPERLINK \l _Toc21302 </w:instrText>
          </w:r>
          <w:r>
            <w:fldChar w:fldCharType="separate"/>
          </w:r>
          <w:r>
            <w:rPr>
              <w:rFonts w:hint="eastAsia" w:ascii="黑体" w:hAnsi="黑体" w:eastAsia="黑体"/>
            </w:rPr>
            <w:t>九、国有资本经营预算支出决算情况说明</w:t>
          </w:r>
          <w:r>
            <w:tab/>
          </w:r>
          <w:r>
            <w:fldChar w:fldCharType="begin"/>
          </w:r>
          <w:r>
            <w:instrText xml:space="preserve"> PAGEREF _Toc21302 \h </w:instrText>
          </w:r>
          <w:r>
            <w:fldChar w:fldCharType="separate"/>
          </w:r>
          <w:r>
            <w:t>15</w:t>
          </w:r>
          <w:r>
            <w:fldChar w:fldCharType="end"/>
          </w:r>
          <w:r>
            <w:fldChar w:fldCharType="end"/>
          </w:r>
        </w:p>
        <w:p>
          <w:pPr>
            <w:pStyle w:val="10"/>
            <w:tabs>
              <w:tab w:val="right" w:leader="dot" w:pos="8306"/>
            </w:tabs>
          </w:pPr>
          <w:r>
            <w:fldChar w:fldCharType="begin"/>
          </w:r>
          <w:r>
            <w:instrText xml:space="preserve"> HYPERLINK \l _Toc11191 </w:instrText>
          </w:r>
          <w:r>
            <w:fldChar w:fldCharType="separate"/>
          </w:r>
          <w:r>
            <w:rPr>
              <w:rFonts w:hint="eastAsia" w:ascii="黑体" w:hAnsi="黑体" w:eastAsia="黑体"/>
            </w:rPr>
            <w:t>十、其他重要事项的情况说明</w:t>
          </w:r>
          <w:r>
            <w:tab/>
          </w:r>
          <w:r>
            <w:fldChar w:fldCharType="begin"/>
          </w:r>
          <w:r>
            <w:instrText xml:space="preserve"> PAGEREF _Toc11191 \h </w:instrText>
          </w:r>
          <w:r>
            <w:fldChar w:fldCharType="separate"/>
          </w:r>
          <w:r>
            <w:t>15</w:t>
          </w:r>
          <w:r>
            <w:fldChar w:fldCharType="end"/>
          </w:r>
          <w:r>
            <w:fldChar w:fldCharType="end"/>
          </w:r>
        </w:p>
        <w:p>
          <w:pPr>
            <w:pStyle w:val="9"/>
            <w:tabs>
              <w:tab w:val="right" w:leader="dot" w:pos="8306"/>
            </w:tabs>
          </w:pPr>
          <w:r>
            <w:fldChar w:fldCharType="begin"/>
          </w:r>
          <w:r>
            <w:instrText xml:space="preserve"> HYPERLINK \l _Toc11654 </w:instrText>
          </w:r>
          <w:r>
            <w:fldChar w:fldCharType="separate"/>
          </w:r>
          <w:r>
            <w:rPr>
              <w:rFonts w:hint="eastAsia" w:ascii="黑体" w:hAnsi="黑体" w:eastAsia="黑体" w:cs="黑体"/>
              <w:szCs w:val="44"/>
            </w:rPr>
            <w:t xml:space="preserve">第三部分 </w:t>
          </w:r>
          <w:r>
            <w:rPr>
              <w:rFonts w:hint="eastAsia" w:ascii="黑体" w:hAnsi="黑体" w:eastAsia="黑体" w:cs="Times New Roman"/>
              <w:szCs w:val="44"/>
            </w:rPr>
            <w:t>名词解释</w:t>
          </w:r>
          <w:r>
            <w:tab/>
          </w:r>
          <w:r>
            <w:fldChar w:fldCharType="begin"/>
          </w:r>
          <w:r>
            <w:instrText xml:space="preserve"> PAGEREF _Toc11654 \h </w:instrText>
          </w:r>
          <w:r>
            <w:fldChar w:fldCharType="separate"/>
          </w:r>
          <w:r>
            <w:t>20</w:t>
          </w:r>
          <w:r>
            <w:fldChar w:fldCharType="end"/>
          </w:r>
          <w:r>
            <w:fldChar w:fldCharType="end"/>
          </w:r>
        </w:p>
        <w:p>
          <w:pPr>
            <w:pStyle w:val="9"/>
            <w:tabs>
              <w:tab w:val="right" w:leader="dot" w:pos="8306"/>
            </w:tabs>
          </w:pPr>
          <w:r>
            <w:fldChar w:fldCharType="begin"/>
          </w:r>
          <w:r>
            <w:instrText xml:space="preserve"> HYPERLINK \l _Toc10643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_Toc10643 \h </w:instrText>
          </w:r>
          <w:r>
            <w:fldChar w:fldCharType="separate"/>
          </w:r>
          <w:r>
            <w:t>23</w:t>
          </w:r>
          <w:r>
            <w:fldChar w:fldCharType="end"/>
          </w:r>
          <w:r>
            <w:fldChar w:fldCharType="end"/>
          </w:r>
        </w:p>
        <w:p>
          <w:pPr>
            <w:pStyle w:val="10"/>
            <w:tabs>
              <w:tab w:val="right" w:leader="dot" w:pos="8306"/>
            </w:tabs>
          </w:pPr>
          <w:r>
            <w:fldChar w:fldCharType="begin"/>
          </w:r>
          <w:r>
            <w:instrText xml:space="preserve"> HYPERLINK \l _Toc1711 </w:instrText>
          </w:r>
          <w:r>
            <w:fldChar w:fldCharType="separate"/>
          </w:r>
          <w:r>
            <w:rPr>
              <w:rFonts w:hint="eastAsia" w:ascii="方正小标宋简体" w:hAnsi="宋体" w:eastAsia="方正小标宋简体"/>
              <w:kern w:val="0"/>
              <w:szCs w:val="44"/>
              <w:lang w:val="zh-CN"/>
            </w:rPr>
            <w:t>202</w:t>
          </w:r>
          <w:r>
            <w:rPr>
              <w:rFonts w:hint="eastAsia" w:ascii="方正小标宋简体" w:hAnsi="宋体" w:eastAsia="方正小标宋简体"/>
              <w:kern w:val="0"/>
              <w:szCs w:val="44"/>
            </w:rPr>
            <w:t>0</w:t>
          </w:r>
          <w:r>
            <w:rPr>
              <w:rFonts w:hint="eastAsia" w:ascii="方正小标宋简体" w:hAnsi="宋体" w:eastAsia="方正小标宋简体"/>
              <w:kern w:val="0"/>
              <w:szCs w:val="44"/>
              <w:lang w:val="zh-CN"/>
            </w:rPr>
            <w:t>年商务厅外贸大楼维修改造项目支出绩效自评报告</w:t>
          </w:r>
          <w:r>
            <w:tab/>
          </w:r>
          <w:r>
            <w:fldChar w:fldCharType="begin"/>
          </w:r>
          <w:r>
            <w:instrText xml:space="preserve"> PAGEREF _Toc1711 \h </w:instrText>
          </w:r>
          <w:r>
            <w:fldChar w:fldCharType="separate"/>
          </w:r>
          <w:r>
            <w:t>23</w:t>
          </w:r>
          <w:r>
            <w:fldChar w:fldCharType="end"/>
          </w:r>
          <w:r>
            <w:fldChar w:fldCharType="end"/>
          </w:r>
        </w:p>
        <w:p>
          <w:pPr>
            <w:pStyle w:val="10"/>
            <w:tabs>
              <w:tab w:val="right" w:leader="dot" w:pos="8306"/>
            </w:tabs>
          </w:pPr>
          <w:r>
            <w:fldChar w:fldCharType="begin"/>
          </w:r>
          <w:r>
            <w:instrText xml:space="preserve"> HYPERLINK \l _Toc14979 </w:instrText>
          </w:r>
          <w:r>
            <w:fldChar w:fldCharType="separate"/>
          </w:r>
          <w:r>
            <w:rPr>
              <w:rFonts w:hint="eastAsia" w:ascii="黑体" w:hAnsi="宋体" w:eastAsia="黑体"/>
              <w:szCs w:val="32"/>
            </w:rPr>
            <w:t>一、</w:t>
          </w:r>
          <w:r>
            <w:rPr>
              <w:rFonts w:hint="eastAsia" w:ascii="黑体" w:hAnsi="宋体" w:eastAsia="黑体"/>
              <w:szCs w:val="32"/>
              <w:lang w:val="zh-CN"/>
            </w:rPr>
            <w:t>项目概况</w:t>
          </w:r>
          <w:r>
            <w:tab/>
          </w:r>
          <w:r>
            <w:fldChar w:fldCharType="begin"/>
          </w:r>
          <w:r>
            <w:instrText xml:space="preserve"> PAGEREF _Toc14979 \h </w:instrText>
          </w:r>
          <w:r>
            <w:fldChar w:fldCharType="separate"/>
          </w:r>
          <w:r>
            <w:t>23</w:t>
          </w:r>
          <w:r>
            <w:fldChar w:fldCharType="end"/>
          </w:r>
          <w:r>
            <w:fldChar w:fldCharType="end"/>
          </w:r>
        </w:p>
        <w:p>
          <w:pPr>
            <w:pStyle w:val="10"/>
            <w:tabs>
              <w:tab w:val="right" w:leader="dot" w:pos="8306"/>
            </w:tabs>
          </w:pPr>
          <w:bookmarkStart w:id="103" w:name="_GoBack"/>
          <w:bookmarkEnd w:id="103"/>
          <w:r>
            <w:fldChar w:fldCharType="begin"/>
          </w:r>
          <w:r>
            <w:instrText xml:space="preserve"> HYPERLINK \l _Toc16577 </w:instrText>
          </w:r>
          <w:r>
            <w:fldChar w:fldCharType="separate"/>
          </w:r>
          <w:r>
            <w:rPr>
              <w:rFonts w:hint="eastAsia" w:ascii="黑体" w:hAnsi="宋体" w:eastAsia="黑体"/>
              <w:szCs w:val="32"/>
            </w:rPr>
            <w:t>二、项目实施及管理情况</w:t>
          </w:r>
          <w:r>
            <w:tab/>
          </w:r>
          <w:r>
            <w:fldChar w:fldCharType="begin"/>
          </w:r>
          <w:r>
            <w:instrText xml:space="preserve"> PAGEREF _Toc16577 \h </w:instrText>
          </w:r>
          <w:r>
            <w:fldChar w:fldCharType="separate"/>
          </w:r>
          <w:r>
            <w:t>24</w:t>
          </w:r>
          <w:r>
            <w:fldChar w:fldCharType="end"/>
          </w:r>
          <w:r>
            <w:fldChar w:fldCharType="end"/>
          </w:r>
        </w:p>
        <w:p>
          <w:pPr>
            <w:pStyle w:val="10"/>
            <w:tabs>
              <w:tab w:val="right" w:leader="dot" w:pos="8306"/>
            </w:tabs>
          </w:pPr>
          <w:r>
            <w:fldChar w:fldCharType="begin"/>
          </w:r>
          <w:r>
            <w:instrText xml:space="preserve"> HYPERLINK \l _Toc32581 </w:instrText>
          </w:r>
          <w:r>
            <w:fldChar w:fldCharType="separate"/>
          </w:r>
          <w:r>
            <w:rPr>
              <w:rFonts w:hint="eastAsia" w:ascii="黑体" w:hAnsi="宋体" w:eastAsia="黑体"/>
              <w:szCs w:val="32"/>
            </w:rPr>
            <w:t>三、项目绩效情况</w:t>
          </w:r>
          <w:r>
            <w:tab/>
          </w:r>
          <w:r>
            <w:fldChar w:fldCharType="begin"/>
          </w:r>
          <w:r>
            <w:instrText xml:space="preserve"> PAGEREF _Toc32581 \h </w:instrText>
          </w:r>
          <w:r>
            <w:fldChar w:fldCharType="separate"/>
          </w:r>
          <w:r>
            <w:t>27</w:t>
          </w:r>
          <w:r>
            <w:fldChar w:fldCharType="end"/>
          </w:r>
          <w:r>
            <w:fldChar w:fldCharType="end"/>
          </w:r>
        </w:p>
        <w:p>
          <w:pPr>
            <w:pStyle w:val="10"/>
            <w:tabs>
              <w:tab w:val="right" w:leader="dot" w:pos="8306"/>
            </w:tabs>
          </w:pPr>
          <w:r>
            <w:fldChar w:fldCharType="begin"/>
          </w:r>
          <w:r>
            <w:instrText xml:space="preserve"> HYPERLINK \l _Toc27820 </w:instrText>
          </w:r>
          <w:r>
            <w:fldChar w:fldCharType="separate"/>
          </w:r>
          <w:r>
            <w:rPr>
              <w:rFonts w:hint="eastAsia" w:ascii="黑体" w:hAnsi="宋体" w:eastAsia="黑体"/>
              <w:szCs w:val="32"/>
            </w:rPr>
            <w:t>四、问题及建议</w:t>
          </w:r>
          <w:r>
            <w:tab/>
          </w:r>
          <w:r>
            <w:fldChar w:fldCharType="begin"/>
          </w:r>
          <w:r>
            <w:instrText xml:space="preserve"> PAGEREF _Toc27820 \h </w:instrText>
          </w:r>
          <w:r>
            <w:fldChar w:fldCharType="separate"/>
          </w:r>
          <w:r>
            <w:t>27</w:t>
          </w:r>
          <w:r>
            <w:fldChar w:fldCharType="end"/>
          </w:r>
          <w:r>
            <w:fldChar w:fldCharType="end"/>
          </w:r>
        </w:p>
        <w:p>
          <w:pPr>
            <w:pStyle w:val="9"/>
            <w:tabs>
              <w:tab w:val="right" w:leader="dot" w:pos="8306"/>
            </w:tabs>
          </w:pPr>
          <w:r>
            <w:fldChar w:fldCharType="begin"/>
          </w:r>
          <w:r>
            <w:instrText xml:space="preserve"> HYPERLINK \l _Toc5011 </w:instrText>
          </w:r>
          <w:r>
            <w:fldChar w:fldCharType="separate"/>
          </w:r>
          <w:r>
            <w:rPr>
              <w:rFonts w:hint="eastAsia" w:ascii="黑体" w:hAnsi="黑体" w:eastAsia="黑体" w:cstheme="minorBidi"/>
            </w:rPr>
            <w:t>第五部分 附表</w:t>
          </w:r>
          <w:r>
            <w:tab/>
          </w:r>
          <w:r>
            <w:fldChar w:fldCharType="begin"/>
          </w:r>
          <w:r>
            <w:instrText xml:space="preserve"> PAGEREF _Toc5011 \h </w:instrText>
          </w:r>
          <w:r>
            <w:fldChar w:fldCharType="separate"/>
          </w:r>
          <w:r>
            <w:t>28</w:t>
          </w:r>
          <w:r>
            <w:fldChar w:fldCharType="end"/>
          </w:r>
          <w:r>
            <w:fldChar w:fldCharType="end"/>
          </w:r>
        </w:p>
        <w:p>
          <w:pPr>
            <w:pStyle w:val="10"/>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_Toc21437 </w:instrText>
          </w:r>
          <w:r>
            <w:rPr>
              <w:rFonts w:hint="eastAsia" w:ascii="黑体" w:hAnsi="黑体" w:eastAsia="黑体" w:cs="黑体"/>
            </w:rPr>
            <w:fldChar w:fldCharType="separate"/>
          </w:r>
          <w:r>
            <w:rPr>
              <w:rFonts w:hint="eastAsia" w:ascii="黑体" w:hAnsi="黑体" w:eastAsia="黑体" w:cs="黑体"/>
              <w:bCs w:val="0"/>
              <w:kern w:val="0"/>
            </w:rPr>
            <w:t>一、收入支出决算总表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_Toc21437 \h </w:instrText>
          </w:r>
          <w:r>
            <w:rPr>
              <w:rFonts w:hint="eastAsia" w:ascii="黑体" w:hAnsi="黑体" w:eastAsia="黑体" w:cs="黑体"/>
            </w:rPr>
            <w:fldChar w:fldCharType="separate"/>
          </w:r>
          <w:r>
            <w:rPr>
              <w:rFonts w:hint="eastAsia" w:ascii="黑体" w:hAnsi="黑体" w:eastAsia="黑体" w:cs="黑体"/>
            </w:rPr>
            <w:t>28</w:t>
          </w:r>
          <w:r>
            <w:rPr>
              <w:rFonts w:hint="eastAsia" w:ascii="黑体" w:hAnsi="黑体" w:eastAsia="黑体" w:cs="黑体"/>
            </w:rPr>
            <w:fldChar w:fldCharType="end"/>
          </w:r>
          <w:r>
            <w:rPr>
              <w:rFonts w:hint="eastAsia" w:ascii="黑体" w:hAnsi="黑体" w:eastAsia="黑体" w:cs="黑体"/>
            </w:rPr>
            <w:fldChar w:fldCharType="end"/>
          </w:r>
        </w:p>
        <w:p>
          <w:pPr>
            <w:pStyle w:val="10"/>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_Toc11791 </w:instrText>
          </w:r>
          <w:r>
            <w:rPr>
              <w:rFonts w:hint="eastAsia" w:ascii="黑体" w:hAnsi="黑体" w:eastAsia="黑体" w:cs="黑体"/>
            </w:rPr>
            <w:fldChar w:fldCharType="separate"/>
          </w:r>
          <w:r>
            <w:rPr>
              <w:rFonts w:hint="eastAsia" w:ascii="黑体" w:hAnsi="黑体" w:eastAsia="黑体" w:cs="黑体"/>
              <w:bCs w:val="0"/>
              <w:kern w:val="0"/>
            </w:rPr>
            <w:t>二、收入决算表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_Toc11791 \h </w:instrText>
          </w:r>
          <w:r>
            <w:rPr>
              <w:rFonts w:hint="eastAsia" w:ascii="黑体" w:hAnsi="黑体" w:eastAsia="黑体" w:cs="黑体"/>
            </w:rPr>
            <w:fldChar w:fldCharType="separate"/>
          </w:r>
          <w:r>
            <w:rPr>
              <w:rFonts w:hint="eastAsia" w:ascii="黑体" w:hAnsi="黑体" w:eastAsia="黑体" w:cs="黑体"/>
            </w:rPr>
            <w:t>28</w:t>
          </w:r>
          <w:r>
            <w:rPr>
              <w:rFonts w:hint="eastAsia" w:ascii="黑体" w:hAnsi="黑体" w:eastAsia="黑体" w:cs="黑体"/>
            </w:rPr>
            <w:fldChar w:fldCharType="end"/>
          </w:r>
          <w:r>
            <w:rPr>
              <w:rFonts w:hint="eastAsia" w:ascii="黑体" w:hAnsi="黑体" w:eastAsia="黑体" w:cs="黑体"/>
            </w:rPr>
            <w:fldChar w:fldCharType="end"/>
          </w:r>
        </w:p>
        <w:p>
          <w:pPr>
            <w:pStyle w:val="10"/>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_Toc25173 </w:instrText>
          </w:r>
          <w:r>
            <w:rPr>
              <w:rFonts w:hint="eastAsia" w:ascii="黑体" w:hAnsi="黑体" w:eastAsia="黑体" w:cs="黑体"/>
            </w:rPr>
            <w:fldChar w:fldCharType="separate"/>
          </w:r>
          <w:r>
            <w:rPr>
              <w:rFonts w:hint="eastAsia" w:ascii="黑体" w:hAnsi="黑体" w:eastAsia="黑体" w:cs="黑体"/>
              <w:bCs w:val="0"/>
              <w:kern w:val="0"/>
            </w:rPr>
            <w:t>三、支出决算表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_Toc25173 \h </w:instrText>
          </w:r>
          <w:r>
            <w:rPr>
              <w:rFonts w:hint="eastAsia" w:ascii="黑体" w:hAnsi="黑体" w:eastAsia="黑体" w:cs="黑体"/>
            </w:rPr>
            <w:fldChar w:fldCharType="separate"/>
          </w:r>
          <w:r>
            <w:rPr>
              <w:rFonts w:hint="eastAsia" w:ascii="黑体" w:hAnsi="黑体" w:eastAsia="黑体" w:cs="黑体"/>
            </w:rPr>
            <w:t>28</w:t>
          </w:r>
          <w:r>
            <w:rPr>
              <w:rFonts w:hint="eastAsia" w:ascii="黑体" w:hAnsi="黑体" w:eastAsia="黑体" w:cs="黑体"/>
            </w:rPr>
            <w:fldChar w:fldCharType="end"/>
          </w:r>
          <w:r>
            <w:rPr>
              <w:rFonts w:hint="eastAsia" w:ascii="黑体" w:hAnsi="黑体" w:eastAsia="黑体" w:cs="黑体"/>
            </w:rPr>
            <w:fldChar w:fldCharType="end"/>
          </w:r>
        </w:p>
        <w:p>
          <w:pPr>
            <w:pStyle w:val="10"/>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_Toc191 </w:instrText>
          </w:r>
          <w:r>
            <w:rPr>
              <w:rFonts w:hint="eastAsia" w:ascii="黑体" w:hAnsi="黑体" w:eastAsia="黑体" w:cs="黑体"/>
            </w:rPr>
            <w:fldChar w:fldCharType="separate"/>
          </w:r>
          <w:r>
            <w:rPr>
              <w:rFonts w:hint="eastAsia" w:ascii="黑体" w:hAnsi="黑体" w:eastAsia="黑体" w:cs="黑体"/>
              <w:bCs w:val="0"/>
              <w:kern w:val="0"/>
            </w:rPr>
            <w:t>四、财政拨款收入支出决算总表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_Toc191 \h </w:instrText>
          </w:r>
          <w:r>
            <w:rPr>
              <w:rFonts w:hint="eastAsia" w:ascii="黑体" w:hAnsi="黑体" w:eastAsia="黑体" w:cs="黑体"/>
            </w:rPr>
            <w:fldChar w:fldCharType="separate"/>
          </w:r>
          <w:r>
            <w:rPr>
              <w:rFonts w:hint="eastAsia" w:ascii="黑体" w:hAnsi="黑体" w:eastAsia="黑体" w:cs="黑体"/>
            </w:rPr>
            <w:t>28</w:t>
          </w:r>
          <w:r>
            <w:rPr>
              <w:rFonts w:hint="eastAsia" w:ascii="黑体" w:hAnsi="黑体" w:eastAsia="黑体" w:cs="黑体"/>
            </w:rPr>
            <w:fldChar w:fldCharType="end"/>
          </w:r>
          <w:r>
            <w:rPr>
              <w:rFonts w:hint="eastAsia" w:ascii="黑体" w:hAnsi="黑体" w:eastAsia="黑体" w:cs="黑体"/>
            </w:rPr>
            <w:fldChar w:fldCharType="end"/>
          </w:r>
        </w:p>
        <w:p>
          <w:pPr>
            <w:pStyle w:val="10"/>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_Toc9474 </w:instrText>
          </w:r>
          <w:r>
            <w:rPr>
              <w:rFonts w:hint="eastAsia" w:ascii="黑体" w:hAnsi="黑体" w:eastAsia="黑体" w:cs="黑体"/>
            </w:rPr>
            <w:fldChar w:fldCharType="separate"/>
          </w:r>
          <w:r>
            <w:rPr>
              <w:rFonts w:hint="eastAsia" w:ascii="黑体" w:hAnsi="黑体" w:eastAsia="黑体" w:cs="黑体"/>
              <w:bCs w:val="0"/>
              <w:kern w:val="0"/>
            </w:rPr>
            <w:t>五、财政拨款支出决算明细表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_Toc9474 \h </w:instrText>
          </w:r>
          <w:r>
            <w:rPr>
              <w:rFonts w:hint="eastAsia" w:ascii="黑体" w:hAnsi="黑体" w:eastAsia="黑体" w:cs="黑体"/>
            </w:rPr>
            <w:fldChar w:fldCharType="separate"/>
          </w:r>
          <w:r>
            <w:rPr>
              <w:rFonts w:hint="eastAsia" w:ascii="黑体" w:hAnsi="黑体" w:eastAsia="黑体" w:cs="黑体"/>
            </w:rPr>
            <w:t>28</w:t>
          </w:r>
          <w:r>
            <w:rPr>
              <w:rFonts w:hint="eastAsia" w:ascii="黑体" w:hAnsi="黑体" w:eastAsia="黑体" w:cs="黑体"/>
            </w:rPr>
            <w:fldChar w:fldCharType="end"/>
          </w:r>
          <w:r>
            <w:rPr>
              <w:rFonts w:hint="eastAsia" w:ascii="黑体" w:hAnsi="黑体" w:eastAsia="黑体" w:cs="黑体"/>
            </w:rPr>
            <w:fldChar w:fldCharType="end"/>
          </w:r>
        </w:p>
        <w:p>
          <w:pPr>
            <w:pStyle w:val="10"/>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_Toc26152 </w:instrText>
          </w:r>
          <w:r>
            <w:rPr>
              <w:rFonts w:hint="eastAsia" w:ascii="黑体" w:hAnsi="黑体" w:eastAsia="黑体" w:cs="黑体"/>
            </w:rPr>
            <w:fldChar w:fldCharType="separate"/>
          </w:r>
          <w:r>
            <w:rPr>
              <w:rFonts w:hint="eastAsia" w:ascii="黑体" w:hAnsi="黑体" w:eastAsia="黑体" w:cs="黑体"/>
              <w:bCs w:val="0"/>
              <w:kern w:val="0"/>
            </w:rPr>
            <w:t>六、一般公共预算财政拨款支出决算表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_Toc26152 \h </w:instrText>
          </w:r>
          <w:r>
            <w:rPr>
              <w:rFonts w:hint="eastAsia" w:ascii="黑体" w:hAnsi="黑体" w:eastAsia="黑体" w:cs="黑体"/>
            </w:rPr>
            <w:fldChar w:fldCharType="separate"/>
          </w:r>
          <w:r>
            <w:rPr>
              <w:rFonts w:hint="eastAsia" w:ascii="黑体" w:hAnsi="黑体" w:eastAsia="黑体" w:cs="黑体"/>
            </w:rPr>
            <w:t>28</w:t>
          </w:r>
          <w:r>
            <w:rPr>
              <w:rFonts w:hint="eastAsia" w:ascii="黑体" w:hAnsi="黑体" w:eastAsia="黑体" w:cs="黑体"/>
            </w:rPr>
            <w:fldChar w:fldCharType="end"/>
          </w:r>
          <w:r>
            <w:rPr>
              <w:rFonts w:hint="eastAsia" w:ascii="黑体" w:hAnsi="黑体" w:eastAsia="黑体" w:cs="黑体"/>
            </w:rPr>
            <w:fldChar w:fldCharType="end"/>
          </w:r>
        </w:p>
        <w:p>
          <w:pPr>
            <w:pStyle w:val="10"/>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_Toc21401 </w:instrText>
          </w:r>
          <w:r>
            <w:rPr>
              <w:rFonts w:hint="eastAsia" w:ascii="黑体" w:hAnsi="黑体" w:eastAsia="黑体" w:cs="黑体"/>
            </w:rPr>
            <w:fldChar w:fldCharType="separate"/>
          </w:r>
          <w:r>
            <w:rPr>
              <w:rFonts w:hint="eastAsia" w:ascii="黑体" w:hAnsi="黑体" w:eastAsia="黑体" w:cs="黑体"/>
              <w:bCs w:val="0"/>
              <w:kern w:val="0"/>
            </w:rPr>
            <w:t>七、一般公共预算财政拨款支出决算明细表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_Toc21401 \h </w:instrText>
          </w:r>
          <w:r>
            <w:rPr>
              <w:rFonts w:hint="eastAsia" w:ascii="黑体" w:hAnsi="黑体" w:eastAsia="黑体" w:cs="黑体"/>
            </w:rPr>
            <w:fldChar w:fldCharType="separate"/>
          </w:r>
          <w:r>
            <w:rPr>
              <w:rFonts w:hint="eastAsia" w:ascii="黑体" w:hAnsi="黑体" w:eastAsia="黑体" w:cs="黑体"/>
            </w:rPr>
            <w:t>28</w:t>
          </w:r>
          <w:r>
            <w:rPr>
              <w:rFonts w:hint="eastAsia" w:ascii="黑体" w:hAnsi="黑体" w:eastAsia="黑体" w:cs="黑体"/>
            </w:rPr>
            <w:fldChar w:fldCharType="end"/>
          </w:r>
          <w:r>
            <w:rPr>
              <w:rFonts w:hint="eastAsia" w:ascii="黑体" w:hAnsi="黑体" w:eastAsia="黑体" w:cs="黑体"/>
            </w:rPr>
            <w:fldChar w:fldCharType="end"/>
          </w:r>
        </w:p>
        <w:p>
          <w:pPr>
            <w:pStyle w:val="10"/>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_Toc2188 </w:instrText>
          </w:r>
          <w:r>
            <w:rPr>
              <w:rFonts w:hint="eastAsia" w:ascii="黑体" w:hAnsi="黑体" w:eastAsia="黑体" w:cs="黑体"/>
            </w:rPr>
            <w:fldChar w:fldCharType="separate"/>
          </w:r>
          <w:r>
            <w:rPr>
              <w:rFonts w:hint="eastAsia" w:ascii="黑体" w:hAnsi="黑体" w:eastAsia="黑体" w:cs="黑体"/>
              <w:bCs w:val="0"/>
              <w:kern w:val="0"/>
            </w:rPr>
            <w:t>八、一般公共预算财政拨款基本支出决算表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_Toc2188 \h </w:instrText>
          </w:r>
          <w:r>
            <w:rPr>
              <w:rFonts w:hint="eastAsia" w:ascii="黑体" w:hAnsi="黑体" w:eastAsia="黑体" w:cs="黑体"/>
            </w:rPr>
            <w:fldChar w:fldCharType="separate"/>
          </w:r>
          <w:r>
            <w:rPr>
              <w:rFonts w:hint="eastAsia" w:ascii="黑体" w:hAnsi="黑体" w:eastAsia="黑体" w:cs="黑体"/>
            </w:rPr>
            <w:t>28</w:t>
          </w:r>
          <w:r>
            <w:rPr>
              <w:rFonts w:hint="eastAsia" w:ascii="黑体" w:hAnsi="黑体" w:eastAsia="黑体" w:cs="黑体"/>
            </w:rPr>
            <w:fldChar w:fldCharType="end"/>
          </w:r>
          <w:r>
            <w:rPr>
              <w:rFonts w:hint="eastAsia" w:ascii="黑体" w:hAnsi="黑体" w:eastAsia="黑体" w:cs="黑体"/>
            </w:rPr>
            <w:fldChar w:fldCharType="end"/>
          </w:r>
        </w:p>
        <w:p>
          <w:pPr>
            <w:pStyle w:val="10"/>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_Toc528 </w:instrText>
          </w:r>
          <w:r>
            <w:rPr>
              <w:rFonts w:hint="eastAsia" w:ascii="黑体" w:hAnsi="黑体" w:eastAsia="黑体" w:cs="黑体"/>
            </w:rPr>
            <w:fldChar w:fldCharType="separate"/>
          </w:r>
          <w:r>
            <w:rPr>
              <w:rFonts w:hint="eastAsia" w:ascii="黑体" w:hAnsi="黑体" w:eastAsia="黑体" w:cs="黑体"/>
              <w:bCs w:val="0"/>
              <w:kern w:val="0"/>
            </w:rPr>
            <w:t>九、一般公共预算财政拨款项目支出决算表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_Toc528 \h </w:instrText>
          </w:r>
          <w:r>
            <w:rPr>
              <w:rFonts w:hint="eastAsia" w:ascii="黑体" w:hAnsi="黑体" w:eastAsia="黑体" w:cs="黑体"/>
            </w:rPr>
            <w:fldChar w:fldCharType="separate"/>
          </w:r>
          <w:r>
            <w:rPr>
              <w:rFonts w:hint="eastAsia" w:ascii="黑体" w:hAnsi="黑体" w:eastAsia="黑体" w:cs="黑体"/>
            </w:rPr>
            <w:t>28</w:t>
          </w:r>
          <w:r>
            <w:rPr>
              <w:rFonts w:hint="eastAsia" w:ascii="黑体" w:hAnsi="黑体" w:eastAsia="黑体" w:cs="黑体"/>
            </w:rPr>
            <w:fldChar w:fldCharType="end"/>
          </w:r>
          <w:r>
            <w:rPr>
              <w:rFonts w:hint="eastAsia" w:ascii="黑体" w:hAnsi="黑体" w:eastAsia="黑体" w:cs="黑体"/>
            </w:rPr>
            <w:fldChar w:fldCharType="end"/>
          </w:r>
        </w:p>
        <w:p>
          <w:pPr>
            <w:pStyle w:val="10"/>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_Toc23515 </w:instrText>
          </w:r>
          <w:r>
            <w:rPr>
              <w:rFonts w:hint="eastAsia" w:ascii="黑体" w:hAnsi="黑体" w:eastAsia="黑体" w:cs="黑体"/>
            </w:rPr>
            <w:fldChar w:fldCharType="separate"/>
          </w:r>
          <w:r>
            <w:rPr>
              <w:rFonts w:hint="eastAsia" w:ascii="黑体" w:hAnsi="黑体" w:eastAsia="黑体" w:cs="黑体"/>
              <w:bCs w:val="0"/>
              <w:kern w:val="0"/>
            </w:rPr>
            <w:t>十、一般公共预算财政拨款“三公”经费支出决算表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_Toc23515 \h </w:instrText>
          </w:r>
          <w:r>
            <w:rPr>
              <w:rFonts w:hint="eastAsia" w:ascii="黑体" w:hAnsi="黑体" w:eastAsia="黑体" w:cs="黑体"/>
            </w:rPr>
            <w:fldChar w:fldCharType="separate"/>
          </w:r>
          <w:r>
            <w:rPr>
              <w:rFonts w:hint="eastAsia" w:ascii="黑体" w:hAnsi="黑体" w:eastAsia="黑体" w:cs="黑体"/>
            </w:rPr>
            <w:t>28</w:t>
          </w:r>
          <w:r>
            <w:rPr>
              <w:rFonts w:hint="eastAsia" w:ascii="黑体" w:hAnsi="黑体" w:eastAsia="黑体" w:cs="黑体"/>
            </w:rPr>
            <w:fldChar w:fldCharType="end"/>
          </w:r>
          <w:r>
            <w:rPr>
              <w:rFonts w:hint="eastAsia" w:ascii="黑体" w:hAnsi="黑体" w:eastAsia="黑体" w:cs="黑体"/>
            </w:rPr>
            <w:fldChar w:fldCharType="end"/>
          </w:r>
        </w:p>
        <w:p>
          <w:pPr>
            <w:pStyle w:val="10"/>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_Toc3360 </w:instrText>
          </w:r>
          <w:r>
            <w:rPr>
              <w:rFonts w:hint="eastAsia" w:ascii="黑体" w:hAnsi="黑体" w:eastAsia="黑体" w:cs="黑体"/>
            </w:rPr>
            <w:fldChar w:fldCharType="separate"/>
          </w:r>
          <w:r>
            <w:rPr>
              <w:rFonts w:hint="eastAsia" w:ascii="黑体" w:hAnsi="黑体" w:eastAsia="黑体" w:cs="黑体"/>
              <w:bCs w:val="0"/>
              <w:kern w:val="0"/>
            </w:rPr>
            <w:t>十一、政府性基金预算财政拨款收入支出决算表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_Toc3360 \h </w:instrText>
          </w:r>
          <w:r>
            <w:rPr>
              <w:rFonts w:hint="eastAsia" w:ascii="黑体" w:hAnsi="黑体" w:eastAsia="黑体" w:cs="黑体"/>
            </w:rPr>
            <w:fldChar w:fldCharType="separate"/>
          </w:r>
          <w:r>
            <w:rPr>
              <w:rFonts w:hint="eastAsia" w:ascii="黑体" w:hAnsi="黑体" w:eastAsia="黑体" w:cs="黑体"/>
            </w:rPr>
            <w:t>28</w:t>
          </w:r>
          <w:r>
            <w:rPr>
              <w:rFonts w:hint="eastAsia" w:ascii="黑体" w:hAnsi="黑体" w:eastAsia="黑体" w:cs="黑体"/>
            </w:rPr>
            <w:fldChar w:fldCharType="end"/>
          </w:r>
          <w:r>
            <w:rPr>
              <w:rFonts w:hint="eastAsia" w:ascii="黑体" w:hAnsi="黑体" w:eastAsia="黑体" w:cs="黑体"/>
            </w:rPr>
            <w:fldChar w:fldCharType="end"/>
          </w:r>
        </w:p>
        <w:p>
          <w:pPr>
            <w:pStyle w:val="10"/>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_Toc18512 </w:instrText>
          </w:r>
          <w:r>
            <w:rPr>
              <w:rFonts w:hint="eastAsia" w:ascii="黑体" w:hAnsi="黑体" w:eastAsia="黑体" w:cs="黑体"/>
            </w:rPr>
            <w:fldChar w:fldCharType="separate"/>
          </w:r>
          <w:r>
            <w:rPr>
              <w:rFonts w:hint="eastAsia" w:ascii="黑体" w:hAnsi="黑体" w:eastAsia="黑体" w:cs="黑体"/>
              <w:bCs w:val="0"/>
              <w:kern w:val="0"/>
            </w:rPr>
            <w:t>十二、政府性基金预算财政拨款“三公”经费支出决算表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_Toc18512 \h </w:instrText>
          </w:r>
          <w:r>
            <w:rPr>
              <w:rFonts w:hint="eastAsia" w:ascii="黑体" w:hAnsi="黑体" w:eastAsia="黑体" w:cs="黑体"/>
            </w:rPr>
            <w:fldChar w:fldCharType="separate"/>
          </w:r>
          <w:r>
            <w:rPr>
              <w:rFonts w:hint="eastAsia" w:ascii="黑体" w:hAnsi="黑体" w:eastAsia="黑体" w:cs="黑体"/>
            </w:rPr>
            <w:t>28</w:t>
          </w:r>
          <w:r>
            <w:rPr>
              <w:rFonts w:hint="eastAsia" w:ascii="黑体" w:hAnsi="黑体" w:eastAsia="黑体" w:cs="黑体"/>
            </w:rPr>
            <w:fldChar w:fldCharType="end"/>
          </w:r>
          <w:r>
            <w:rPr>
              <w:rFonts w:hint="eastAsia" w:ascii="黑体" w:hAnsi="黑体" w:eastAsia="黑体" w:cs="黑体"/>
            </w:rPr>
            <w:fldChar w:fldCharType="end"/>
          </w:r>
        </w:p>
        <w:p>
          <w:pPr>
            <w:pStyle w:val="10"/>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_Toc18678 </w:instrText>
          </w:r>
          <w:r>
            <w:rPr>
              <w:rFonts w:hint="eastAsia" w:ascii="黑体" w:hAnsi="黑体" w:eastAsia="黑体" w:cs="黑体"/>
            </w:rPr>
            <w:fldChar w:fldCharType="separate"/>
          </w:r>
          <w:r>
            <w:rPr>
              <w:rFonts w:hint="eastAsia" w:ascii="黑体" w:hAnsi="黑体" w:eastAsia="黑体" w:cs="黑体"/>
              <w:bCs w:val="0"/>
              <w:kern w:val="0"/>
            </w:rPr>
            <w:t>十三、国有资本经营预算财政拨款收入支出决算表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_Toc18678 \h </w:instrText>
          </w:r>
          <w:r>
            <w:rPr>
              <w:rFonts w:hint="eastAsia" w:ascii="黑体" w:hAnsi="黑体" w:eastAsia="黑体" w:cs="黑体"/>
            </w:rPr>
            <w:fldChar w:fldCharType="separate"/>
          </w:r>
          <w:r>
            <w:rPr>
              <w:rFonts w:hint="eastAsia" w:ascii="黑体" w:hAnsi="黑体" w:eastAsia="黑体" w:cs="黑体"/>
            </w:rPr>
            <w:t>28</w:t>
          </w:r>
          <w:r>
            <w:rPr>
              <w:rFonts w:hint="eastAsia" w:ascii="黑体" w:hAnsi="黑体" w:eastAsia="黑体" w:cs="黑体"/>
            </w:rPr>
            <w:fldChar w:fldCharType="end"/>
          </w:r>
          <w:r>
            <w:rPr>
              <w:rFonts w:hint="eastAsia" w:ascii="黑体" w:hAnsi="黑体" w:eastAsia="黑体" w:cs="黑体"/>
            </w:rPr>
            <w:fldChar w:fldCharType="end"/>
          </w:r>
        </w:p>
        <w:p>
          <w:r>
            <w:fldChar w:fldCharType="end"/>
          </w:r>
        </w:p>
      </w:sdtContent>
    </w:sdt>
    <w:p/>
    <w:p/>
    <w:p/>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
    <w:p>
      <w:pPr>
        <w:pStyle w:val="3"/>
        <w:jc w:val="center"/>
        <w:rPr>
          <w:rStyle w:val="17"/>
          <w:rFonts w:ascii="黑体" w:hAnsi="黑体" w:eastAsia="黑体"/>
          <w:b w:val="0"/>
          <w:bCs w:val="0"/>
        </w:rPr>
      </w:pPr>
      <w:bookmarkStart w:id="11" w:name="_Toc15061"/>
      <w:r>
        <w:rPr>
          <w:rFonts w:hint="eastAsia" w:ascii="黑体" w:hAnsi="黑体" w:eastAsia="黑体"/>
          <w:b w:val="0"/>
        </w:rPr>
        <w:t>第一部分 单位</w:t>
      </w:r>
      <w:r>
        <w:rPr>
          <w:rStyle w:val="17"/>
          <w:rFonts w:hint="eastAsia" w:ascii="黑体" w:hAnsi="黑体" w:eastAsia="黑体"/>
          <w:b w:val="0"/>
          <w:bCs w:val="0"/>
        </w:rPr>
        <w:t>概况</w:t>
      </w:r>
      <w:bookmarkEnd w:id="11"/>
    </w:p>
    <w:p>
      <w:pPr>
        <w:widowControl/>
        <w:jc w:val="left"/>
        <w:rPr>
          <w:rFonts w:ascii="黑体" w:eastAsia="黑体"/>
          <w:sz w:val="32"/>
          <w:szCs w:val="32"/>
        </w:rPr>
      </w:pPr>
    </w:p>
    <w:p>
      <w:pPr>
        <w:pStyle w:val="2"/>
        <w:adjustRightInd w:val="0"/>
        <w:spacing w:before="93" w:line="580" w:lineRule="exact"/>
        <w:ind w:firstLine="672" w:firstLineChars="210"/>
        <w:outlineLvl w:val="1"/>
        <w:rPr>
          <w:rStyle w:val="18"/>
          <w:rFonts w:ascii="黑体" w:hAnsi="黑体" w:eastAsia="黑体"/>
          <w:b w:val="0"/>
          <w:bCs w:val="0"/>
          <w:kern w:val="2"/>
        </w:rPr>
      </w:pPr>
      <w:bookmarkStart w:id="12" w:name="_Toc28654"/>
      <w:bookmarkStart w:id="13" w:name="_Toc15377197"/>
      <w:bookmarkStart w:id="14" w:name="_Toc15396600"/>
      <w:r>
        <w:rPr>
          <w:rStyle w:val="18"/>
          <w:rFonts w:hint="eastAsia" w:ascii="黑体" w:hAnsi="黑体" w:eastAsia="黑体"/>
          <w:b w:val="0"/>
          <w:bCs w:val="0"/>
          <w:kern w:val="2"/>
        </w:rPr>
        <w:t>一、职能简介</w:t>
      </w:r>
      <w:bookmarkEnd w:id="12"/>
    </w:p>
    <w:p>
      <w:pPr>
        <w:pStyle w:val="2"/>
        <w:adjustRightInd w:val="0"/>
        <w:spacing w:before="93" w:line="580" w:lineRule="exact"/>
        <w:ind w:firstLine="672" w:firstLineChars="210"/>
        <w:rPr>
          <w:rFonts w:hAnsi="仿宋_GB2312" w:cs="仿宋_GB2312"/>
          <w:kern w:val="2"/>
          <w:sz w:val="32"/>
          <w:szCs w:val="32"/>
        </w:rPr>
      </w:pPr>
      <w:r>
        <w:rPr>
          <w:rFonts w:hint="eastAsia" w:hAnsi="仿宋_GB2312" w:cs="仿宋_GB2312"/>
          <w:kern w:val="2"/>
          <w:sz w:val="32"/>
          <w:szCs w:val="32"/>
        </w:rPr>
        <w:t>四川省商务厅机关服务中心，简称厅机关服务中心，是根据《关于重新组建省商务厅机关服务中心的批复》（川编发[2005]32号）文件精神，由省机构编制委员会第45次全体会议审议同意，将原四川省外经贸厅和原四川省流通行业办公室机关服务中心合并，重新组建成为“四川省商务厅机关服务中心”，为四川省商务厅直属事业单位。</w:t>
      </w:r>
    </w:p>
    <w:p>
      <w:pPr>
        <w:pStyle w:val="2"/>
        <w:adjustRightInd w:val="0"/>
        <w:spacing w:before="93" w:line="580" w:lineRule="exact"/>
        <w:ind w:firstLine="672" w:firstLineChars="210"/>
        <w:rPr>
          <w:rFonts w:hAnsi="仿宋_GB2312" w:cs="仿宋_GB2312"/>
          <w:kern w:val="2"/>
          <w:sz w:val="32"/>
          <w:szCs w:val="32"/>
        </w:rPr>
      </w:pPr>
      <w:r>
        <w:rPr>
          <w:rFonts w:hint="eastAsia" w:hAnsi="仿宋_GB2312" w:cs="仿宋_GB2312"/>
          <w:kern w:val="2"/>
          <w:sz w:val="32"/>
          <w:szCs w:val="32"/>
        </w:rPr>
        <w:t>主要职责任务：负责机关车辆、通讯、文印、会务、收发、物业管理等服务保障工作；承担机关委托的部分行政管理的事务工作、机关交其使用的固定资产的管理和经营性资产及实体的经营管理工作等。</w:t>
      </w:r>
    </w:p>
    <w:p>
      <w:pPr>
        <w:pStyle w:val="2"/>
        <w:adjustRightInd w:val="0"/>
        <w:spacing w:before="93" w:line="580" w:lineRule="exact"/>
        <w:ind w:firstLine="672" w:firstLineChars="210"/>
        <w:outlineLvl w:val="1"/>
        <w:rPr>
          <w:rStyle w:val="18"/>
          <w:rFonts w:ascii="黑体" w:hAnsi="黑体" w:eastAsia="黑体"/>
          <w:b w:val="0"/>
          <w:bCs w:val="0"/>
          <w:kern w:val="2"/>
        </w:rPr>
      </w:pPr>
      <w:bookmarkStart w:id="15" w:name="_Toc28339"/>
      <w:r>
        <w:rPr>
          <w:rStyle w:val="18"/>
          <w:rFonts w:hint="eastAsia" w:ascii="黑体" w:hAnsi="黑体" w:eastAsia="黑体"/>
          <w:b w:val="0"/>
          <w:bCs w:val="0"/>
          <w:kern w:val="2"/>
        </w:rPr>
        <w:t>二、2020年重点工作</w:t>
      </w:r>
      <w:bookmarkEnd w:id="13"/>
      <w:bookmarkEnd w:id="14"/>
      <w:r>
        <w:rPr>
          <w:rStyle w:val="18"/>
          <w:rFonts w:hint="eastAsia" w:ascii="黑体" w:hAnsi="黑体" w:eastAsia="黑体"/>
          <w:b w:val="0"/>
          <w:bCs w:val="0"/>
          <w:kern w:val="2"/>
        </w:rPr>
        <w:t>完成情况</w:t>
      </w:r>
      <w:bookmarkEnd w:id="15"/>
    </w:p>
    <w:p>
      <w:pPr>
        <w:pStyle w:val="20"/>
        <w:spacing w:line="580" w:lineRule="exact"/>
        <w:ind w:firstLine="643"/>
        <w:jc w:val="both"/>
        <w:rPr>
          <w:rFonts w:hAnsi="仿宋_GB2312" w:cs="仿宋_GB2312"/>
          <w:b w:val="0"/>
          <w:kern w:val="2"/>
          <w:sz w:val="32"/>
          <w:szCs w:val="32"/>
        </w:rPr>
      </w:pPr>
      <w:r>
        <w:rPr>
          <w:rFonts w:hint="eastAsia" w:hAnsi="仿宋_GB2312" w:cs="仿宋_GB2312"/>
          <w:kern w:val="2"/>
          <w:sz w:val="32"/>
          <w:szCs w:val="32"/>
        </w:rPr>
        <w:t>（一）会议服务工作。</w:t>
      </w:r>
      <w:r>
        <w:rPr>
          <w:rFonts w:hint="eastAsia" w:hAnsi="仿宋_GB2312" w:cs="仿宋_GB2312"/>
          <w:b w:val="0"/>
          <w:kern w:val="2"/>
          <w:sz w:val="32"/>
          <w:szCs w:val="32"/>
        </w:rPr>
        <w:t>通过规范会议服务行为，改革服务流程，会议服务质量有了较大提升，全年保障厅机关召开各类会议共计1856次，为29835人次提供了会议服务。</w:t>
      </w:r>
    </w:p>
    <w:p>
      <w:pPr>
        <w:pStyle w:val="20"/>
        <w:spacing w:line="560" w:lineRule="exact"/>
        <w:ind w:firstLine="643"/>
        <w:jc w:val="both"/>
        <w:rPr>
          <w:rFonts w:hAnsi="仿宋_GB2312" w:cs="仿宋_GB2312"/>
          <w:b w:val="0"/>
          <w:kern w:val="2"/>
          <w:sz w:val="32"/>
          <w:szCs w:val="32"/>
        </w:rPr>
      </w:pPr>
      <w:r>
        <w:rPr>
          <w:rFonts w:hint="eastAsia" w:hAnsi="仿宋_GB2312" w:cs="仿宋_GB2312"/>
          <w:kern w:val="2"/>
          <w:sz w:val="32"/>
          <w:szCs w:val="32"/>
        </w:rPr>
        <w:t>（二）维修维护工作。</w:t>
      </w:r>
      <w:r>
        <w:rPr>
          <w:rFonts w:hint="eastAsia" w:hAnsi="仿宋_GB2312" w:cs="仿宋_GB2312"/>
          <w:b w:val="0"/>
          <w:kern w:val="2"/>
          <w:sz w:val="32"/>
          <w:szCs w:val="32"/>
        </w:rPr>
        <w:t>全年克服维修人员人手紧、任务繁重的困难，共对厅机关水、电、空调、照明等设施设备进行维修、维护1400余次，维修门、窗、桌、椅等200余次，维修电话及线路240余次，确保了中央空调、电梯、LED、直饮水、给排水、供电、通讯等设施设备正常运转。</w:t>
      </w:r>
    </w:p>
    <w:p>
      <w:pPr>
        <w:pStyle w:val="20"/>
        <w:spacing w:line="560" w:lineRule="exact"/>
        <w:ind w:firstLine="643"/>
        <w:jc w:val="both"/>
        <w:rPr>
          <w:rFonts w:hAnsi="仿宋_GB2312" w:cs="仿宋_GB2312"/>
          <w:b w:val="0"/>
          <w:kern w:val="2"/>
          <w:sz w:val="32"/>
          <w:szCs w:val="32"/>
        </w:rPr>
      </w:pPr>
      <w:r>
        <w:rPr>
          <w:rFonts w:hint="eastAsia" w:hAnsi="仿宋_GB2312" w:cs="仿宋_GB2312"/>
          <w:kern w:val="2"/>
          <w:sz w:val="32"/>
          <w:szCs w:val="32"/>
        </w:rPr>
        <w:t>（三）文印服务工作。</w:t>
      </w:r>
      <w:r>
        <w:rPr>
          <w:rFonts w:hint="eastAsia" w:hAnsi="仿宋_GB2312" w:cs="仿宋_GB2312"/>
          <w:b w:val="0"/>
          <w:kern w:val="2"/>
          <w:sz w:val="32"/>
          <w:szCs w:val="32"/>
        </w:rPr>
        <w:t>制定了文印工作规程,加强了与各处室的衔接,明确了责任人,打字、文印人员以良好的作风和服务态度，高质量完成了服务任务，全年共打印文件约3.67万份，文印约218.5万张。文印工作人员严格遵守各项保密规定，未发生一起失密、泄密事件。</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（四）食堂服务工作。</w:t>
      </w:r>
      <w:r>
        <w:rPr>
          <w:rFonts w:hint="eastAsia" w:ascii="仿宋_GB2312" w:hAnsi="仿宋_GB2312" w:eastAsia="仿宋_GB2312" w:cs="仿宋_GB2312"/>
          <w:sz w:val="32"/>
          <w:szCs w:val="32"/>
        </w:rPr>
        <w:t>对厅机关就餐人员进行了清理，规范了就餐秩序。科学安排就餐时间，缓解疫情期间出现的就餐矛盾。严把进货渠道关，把控食材价格，确保食品安全。努力提升菜品质量，注重营养健康。加强食堂内部管理，提高服务质量。全年提供早餐13183人次，午餐42846人次，晚上加班餐230人次。</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（五）机要交换和办公用品服务工作。</w:t>
      </w:r>
      <w:r>
        <w:rPr>
          <w:rFonts w:hint="eastAsia" w:ascii="仿宋_GB2312" w:hAnsi="仿宋_GB2312" w:eastAsia="仿宋_GB2312" w:cs="仿宋_GB2312"/>
          <w:sz w:val="32"/>
          <w:szCs w:val="32"/>
        </w:rPr>
        <w:t>全年共发出特快、挂号、平信约14500封，收发文约45000份，交换文件约40000份，机要件约500封，办公用品领取经办服务约4700人次，差错率保证在规定的范围内。</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（六）政府采购服务工作。</w:t>
      </w:r>
      <w:r>
        <w:rPr>
          <w:rFonts w:hint="eastAsia" w:ascii="仿宋_GB2312" w:hAnsi="仿宋_GB2312" w:eastAsia="仿宋_GB2312" w:cs="仿宋_GB2312"/>
          <w:sz w:val="32"/>
          <w:szCs w:val="32"/>
        </w:rPr>
        <w:t>严格执行政府采购政策文件，全年完成了政府采购项目33次，涉及资金2330余万元。</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（七）公务用车调度保障工作。</w:t>
      </w:r>
      <w:r>
        <w:rPr>
          <w:rFonts w:hint="eastAsia" w:ascii="仿宋_GB2312" w:hAnsi="仿宋_GB2312" w:eastAsia="仿宋_GB2312" w:cs="仿宋_GB2312"/>
          <w:sz w:val="32"/>
          <w:szCs w:val="32"/>
        </w:rPr>
        <w:t>根据《四川省党政机关公务用车出行保障办法》，结合我厅实际情况，修订并完善了《厅机关公务人员公务出行车辆使用保障办法》，申请用车出行更规范透明。全年共派遣车辆1600多台次，保障市场检查、商务调研等工作用车，安全行驶25万公里。完成了厅机关2辆轿车（一台离退休老干部用车、一台厅领导实物保障用车）更新工作，并及时办理了更新车辆的注册登记。</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    （八）科学推进疫情防控服务保障工作。</w:t>
      </w:r>
      <w:r>
        <w:rPr>
          <w:rFonts w:hint="eastAsia" w:ascii="仿宋_GB2312" w:hAnsi="仿宋_GB2312" w:eastAsia="仿宋_GB2312" w:cs="仿宋_GB2312"/>
          <w:sz w:val="32"/>
          <w:szCs w:val="32"/>
        </w:rPr>
        <w:t>自年初新冠肺炎疫情爆发以来，在厅疫情防控小组的统一部署和指导下，机关服务中心全面开展各项疫情防控保障工作。一是保洁人员坚持对厅机关公共区域进行全方位，无死角的保洁与消杀工作，在楼道、办公室喷洒消毒剂500余次，对公共区域开展消杀灭菌，面积达3300平方米。二是会务人员对会议场所、办公室进行精细化消杀防疫处理。三是食堂员工每日餐前、餐后用酒精、消毒液、双氧水对就餐桌椅、地面进行消毒处理，对食堂员工每日早晨、中午两次进行体温检测。同时，为厅机关干部职工配备了分餐饭盒，实施了分批、分时段、分散就餐。四是督促中央空调维保单位每季度维护保养时做好办公室中央空调进出风口的消毒处理。五是千方百计多渠道筹措防疫物资，保证了厅机关疫情防控工作的需要。同时，为规范防疫物资管理，制定了《防疫物资管理规定》，指定专人专库进行统一管理和发放并建立工作台账。六是确保对公务用车的消杀工作，确保了厅机关公务出行安全。七是安装了红外线自动测温仪，实行人员信息登记制度，对疫情做到防范有据，追溯有源。</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（九）做好机关事务管理工作。</w:t>
      </w:r>
      <w:r>
        <w:rPr>
          <w:rFonts w:hint="eastAsia" w:ascii="仿宋_GB2312" w:hAnsi="仿宋_GB2312" w:eastAsia="仿宋_GB2312" w:cs="仿宋_GB2312"/>
          <w:sz w:val="32"/>
          <w:szCs w:val="32"/>
        </w:rPr>
        <w:t>完成经营性资产租赁工作。克服新冠肺炎疫情和电商对经营性资产租赁工作的影响，做到了应租尽租，未出现资产长期闲置和拖欠租金情况。按照有关文件规定以及厅长办公会决议，将对租户减免租金的政策全部落实到位。积极推进住房补贴工作。共完成了厅机关13名新进无房职工住房补贴工作，全部材料已送至省机关事务管理局审核。完成了厅机关17名职务晋升人员住房补差工作。同时申报和核算了厅机关和机关服务中心100多名无房职工的住房补贴工作，涉及无房职工住房补贴资金近260万元。完成固定资产管理工作。一是完成了2019年厅机关和机关服务中心固定资产清查工作。二是完成了厅机关和机关服务中心历年来固定资产折旧工作。三是清理了厅机关和机关服务中应报废的固定资产，涉及原值100余万元，报送省机关事务管理局并获批准，下一步将按文件规定联系省国资中心将报废资产交资源交易中心公开进行残值评估处理。</w:t>
      </w:r>
    </w:p>
    <w:p>
      <w:pPr>
        <w:keepNext w:val="0"/>
        <w:keepLines w:val="0"/>
        <w:pageBreakBefore w:val="0"/>
        <w:widowControl w:val="0"/>
        <w:kinsoku/>
        <w:wordWrap/>
        <w:overflowPunct/>
        <w:topLinePunct w:val="0"/>
        <w:autoSpaceDE/>
        <w:autoSpaceDN/>
        <w:bidi w:val="0"/>
        <w:adjustRightInd/>
        <w:snapToGrid/>
        <w:spacing w:before="95" w:beforeLines="30"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（十）抓好扶贫产品购买工作。</w:t>
      </w:r>
      <w:r>
        <w:rPr>
          <w:rFonts w:hint="eastAsia" w:ascii="仿宋_GB2312" w:hAnsi="仿宋_GB2312" w:eastAsia="仿宋_GB2312" w:cs="仿宋_GB2312"/>
          <w:sz w:val="32"/>
          <w:szCs w:val="32"/>
        </w:rPr>
        <w:t>在商务厅驻黑水县扶贫点购买鸡、土豆、大蒜、蜂蜜等农产品计5.4余万元；在“832贫困地区农副产品网络销售平台”购买菜籽油、干面、水果、木耳等凉山州及山西农产品计3.1余万元。</w:t>
      </w:r>
    </w:p>
    <w:p>
      <w:pPr>
        <w:pStyle w:val="2"/>
        <w:keepNext w:val="0"/>
        <w:keepLines w:val="0"/>
        <w:pageBreakBefore w:val="0"/>
        <w:widowControl w:val="0"/>
        <w:kinsoku/>
        <w:wordWrap/>
        <w:overflowPunct/>
        <w:topLinePunct w:val="0"/>
        <w:autoSpaceDE/>
        <w:autoSpaceDN/>
        <w:bidi w:val="0"/>
        <w:adjustRightInd/>
        <w:snapToGrid/>
        <w:spacing w:before="95" w:beforeLines="30" w:line="580" w:lineRule="exact"/>
        <w:ind w:firstLine="640" w:firstLineChars="200"/>
        <w:textAlignment w:val="auto"/>
      </w:pPr>
      <w:bookmarkStart w:id="16" w:name="_Toc32614"/>
      <w:r>
        <w:rPr>
          <w:rStyle w:val="18"/>
          <w:rFonts w:hint="eastAsia" w:ascii="黑体" w:hAnsi="黑体" w:eastAsia="黑体"/>
          <w:b w:val="0"/>
          <w:bCs w:val="0"/>
          <w:kern w:val="2"/>
          <w:lang w:eastAsia="zh-CN"/>
        </w:rPr>
        <w:t>三</w:t>
      </w:r>
      <w:r>
        <w:rPr>
          <w:rStyle w:val="18"/>
          <w:rFonts w:hint="eastAsia" w:ascii="黑体" w:hAnsi="黑体" w:eastAsia="黑体"/>
          <w:b w:val="0"/>
          <w:bCs w:val="0"/>
          <w:kern w:val="2"/>
        </w:rPr>
        <w:t>、</w:t>
      </w:r>
      <w:r>
        <w:rPr>
          <w:rStyle w:val="18"/>
          <w:rFonts w:hint="eastAsia" w:ascii="黑体" w:hAnsi="黑体" w:eastAsia="黑体"/>
          <w:b w:val="0"/>
          <w:bCs w:val="0"/>
          <w:kern w:val="2"/>
          <w:lang w:eastAsia="zh-CN"/>
        </w:rPr>
        <w:t>机构设置</w:t>
      </w:r>
      <w:r>
        <w:rPr>
          <w:rStyle w:val="18"/>
          <w:rFonts w:hint="eastAsia" w:ascii="黑体" w:hAnsi="黑体" w:eastAsia="黑体"/>
          <w:b w:val="0"/>
          <w:bCs w:val="0"/>
          <w:kern w:val="2"/>
        </w:rPr>
        <w:t>情况</w:t>
      </w:r>
      <w:bookmarkEnd w:id="16"/>
    </w:p>
    <w:p>
      <w:pPr>
        <w:keepNext w:val="0"/>
        <w:keepLines w:val="0"/>
        <w:pageBreakBefore w:val="0"/>
        <w:widowControl w:val="0"/>
        <w:kinsoku/>
        <w:wordWrap/>
        <w:overflowPunct/>
        <w:topLinePunct w:val="0"/>
        <w:autoSpaceDE/>
        <w:autoSpaceDN/>
        <w:bidi w:val="0"/>
        <w:adjustRightInd/>
        <w:snapToGrid/>
        <w:spacing w:before="95" w:beforeLines="30" w:line="580" w:lineRule="exact"/>
        <w:ind w:firstLine="640" w:firstLineChars="200"/>
        <w:textAlignment w:val="auto"/>
        <w:rPr>
          <w:rFonts w:hint="default" w:eastAsiaTheme="minorEastAsia"/>
          <w:lang w:val="en-US" w:eastAsia="zh-CN"/>
        </w:rPr>
      </w:pPr>
      <w:r>
        <w:rPr>
          <w:rFonts w:hint="eastAsia" w:ascii="仿宋_GB2312" w:hAnsi="仿宋_GB2312" w:eastAsia="仿宋_GB2312" w:cs="仿宋_GB2312"/>
          <w:sz w:val="32"/>
          <w:szCs w:val="32"/>
          <w:lang w:val="en-US" w:eastAsia="zh-CN"/>
        </w:rPr>
        <w:t>服务中心共由5个内设机构组成，分别是：办公室、资产管理科、服务保障科、安保科及车队。</w:t>
      </w:r>
    </w:p>
    <w:p/>
    <w:p/>
    <w:p/>
    <w:p/>
    <w:p/>
    <w:p>
      <w:pPr>
        <w:pStyle w:val="3"/>
        <w:ind w:right="440"/>
        <w:rPr>
          <w:rFonts w:ascii="黑体" w:hAnsi="黑体" w:eastAsia="黑体"/>
          <w:b w:val="0"/>
        </w:rPr>
      </w:pPr>
      <w:bookmarkStart w:id="17" w:name="_Toc15396602"/>
      <w:bookmarkStart w:id="18" w:name="_Toc15377204"/>
    </w:p>
    <w:p/>
    <w:p/>
    <w:p>
      <w:pPr>
        <w:pStyle w:val="3"/>
        <w:ind w:right="440"/>
        <w:jc w:val="center"/>
        <w:rPr>
          <w:rStyle w:val="17"/>
          <w:rFonts w:ascii="黑体" w:hAnsi="黑体" w:eastAsia="黑体"/>
          <w:b w:val="0"/>
          <w:bCs w:val="0"/>
        </w:rPr>
      </w:pPr>
      <w:bookmarkStart w:id="19" w:name="_Toc12476"/>
      <w:r>
        <w:rPr>
          <w:rFonts w:hint="eastAsia" w:ascii="黑体" w:hAnsi="黑体" w:eastAsia="黑体"/>
          <w:b w:val="0"/>
        </w:rPr>
        <w:t>第二部分 2020年度</w:t>
      </w:r>
      <w:r>
        <w:rPr>
          <w:rStyle w:val="17"/>
          <w:rFonts w:hint="eastAsia" w:ascii="黑体" w:hAnsi="黑体" w:eastAsia="黑体"/>
          <w:b w:val="0"/>
          <w:bCs w:val="0"/>
        </w:rPr>
        <w:t>单位决算情况说明</w:t>
      </w:r>
      <w:bookmarkEnd w:id="17"/>
      <w:bookmarkEnd w:id="18"/>
      <w:bookmarkEnd w:id="19"/>
    </w:p>
    <w:p/>
    <w:p>
      <w:pPr>
        <w:pStyle w:val="21"/>
        <w:numPr>
          <w:ilvl w:val="0"/>
          <w:numId w:val="1"/>
        </w:numPr>
        <w:spacing w:line="600" w:lineRule="exact"/>
        <w:ind w:firstLineChars="0"/>
        <w:outlineLvl w:val="1"/>
        <w:rPr>
          <w:rStyle w:val="18"/>
          <w:rFonts w:ascii="黑体" w:hAnsi="黑体" w:eastAsia="黑体"/>
          <w:b w:val="0"/>
        </w:rPr>
      </w:pPr>
      <w:bookmarkStart w:id="20" w:name="_Toc15377205"/>
      <w:bookmarkStart w:id="21" w:name="_Toc15396603"/>
      <w:bookmarkStart w:id="22" w:name="_Toc4888"/>
      <w:r>
        <w:rPr>
          <w:rStyle w:val="18"/>
          <w:rFonts w:hint="eastAsia" w:ascii="黑体" w:hAnsi="黑体" w:eastAsia="黑体"/>
          <w:b w:val="0"/>
        </w:rPr>
        <w:t>收入支出决算总体情况说明</w:t>
      </w:r>
      <w:bookmarkEnd w:id="20"/>
      <w:bookmarkEnd w:id="21"/>
      <w:bookmarkEnd w:id="22"/>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2020年度收、支总计919.11万元。与2019年相比，收、支总计各增加531.48万元，增长137.11%。主要变动原因是财政按预算拨外贸大楼维修改造工程专项资金519.02万元。</w:t>
      </w:r>
    </w:p>
    <w:p/>
    <w:p>
      <w:r>
        <w:drawing>
          <wp:inline distT="0" distB="0" distL="114300" distR="114300">
            <wp:extent cx="4629150" cy="3048000"/>
            <wp:effectExtent l="19050" t="0" r="19050" b="0"/>
            <wp:docPr id="18"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spacing w:line="600" w:lineRule="exact"/>
        <w:ind w:left="640"/>
        <w:outlineLvl w:val="1"/>
        <w:rPr>
          <w:rStyle w:val="18"/>
          <w:rFonts w:ascii="黑体" w:hAnsi="黑体" w:eastAsia="黑体"/>
          <w:b w:val="0"/>
        </w:rPr>
      </w:pPr>
      <w:bookmarkStart w:id="23" w:name="_Toc15396604"/>
      <w:bookmarkStart w:id="24" w:name="_Toc15377206"/>
      <w:bookmarkStart w:id="25" w:name="_Toc26328"/>
      <w:r>
        <w:rPr>
          <w:rStyle w:val="18"/>
          <w:rFonts w:hint="eastAsia" w:ascii="黑体" w:hAnsi="黑体" w:eastAsia="黑体"/>
          <w:b w:val="0"/>
        </w:rPr>
        <w:t>二、收入决算情况说明</w:t>
      </w:r>
      <w:bookmarkEnd w:id="23"/>
      <w:bookmarkEnd w:id="24"/>
      <w:bookmarkEnd w:id="25"/>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本年收入合计919.11万元，其中：一般公共预算财政拨款收入919.11万元，占100%；政府性基金预算财政拨款收入0万元；上级补助收入0万元；事业收入0万元；经营收入0万元；附属单位上缴收入0万元；其他收入0万元。</w:t>
      </w:r>
    </w:p>
    <w:p/>
    <w:p>
      <w:r>
        <w:drawing>
          <wp:inline distT="0" distB="0" distL="0" distR="0">
            <wp:extent cx="4572000" cy="2743200"/>
            <wp:effectExtent l="19050" t="0" r="1905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
      <w:pPr>
        <w:spacing w:line="600" w:lineRule="exact"/>
        <w:ind w:firstLine="640" w:firstLineChars="200"/>
      </w:pPr>
      <w:r>
        <w:rPr>
          <w:rFonts w:hint="eastAsia" w:ascii="仿宋_GB2312" w:hAnsi="仿宋_GB2312" w:eastAsia="仿宋_GB2312" w:cs="仿宋_GB2312"/>
          <w:sz w:val="32"/>
          <w:szCs w:val="32"/>
        </w:rPr>
        <w:t>（图2：收入决算结构图）（饼状图）</w:t>
      </w:r>
    </w:p>
    <w:p>
      <w:pPr>
        <w:spacing w:line="600" w:lineRule="exact"/>
        <w:ind w:left="640"/>
        <w:outlineLvl w:val="1"/>
        <w:rPr>
          <w:rStyle w:val="18"/>
          <w:rFonts w:ascii="黑体" w:hAnsi="黑体" w:eastAsia="黑体"/>
          <w:b w:val="0"/>
        </w:rPr>
      </w:pPr>
      <w:bookmarkStart w:id="26" w:name="_Toc15377207"/>
      <w:bookmarkStart w:id="27" w:name="_Toc15396605"/>
      <w:bookmarkStart w:id="28" w:name="_Toc8526"/>
      <w:r>
        <w:rPr>
          <w:rStyle w:val="18"/>
          <w:rFonts w:hint="eastAsia" w:ascii="黑体" w:hAnsi="黑体" w:eastAsia="黑体"/>
          <w:b w:val="0"/>
        </w:rPr>
        <w:t>三、支出决算情况说明</w:t>
      </w:r>
      <w:bookmarkEnd w:id="26"/>
      <w:bookmarkEnd w:id="27"/>
      <w:bookmarkEnd w:id="28"/>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2020年本年支出合计919.11万元，其中：基本支出392.09万元，占42.66%；项目支出527.02万元，占57.34%；上缴上级支出0万元；经营支出0万元；对附属单位补助支出0万元。</w:t>
      </w:r>
    </w:p>
    <w:p/>
    <w:p/>
    <w:p/>
    <w:p/>
    <w:p/>
    <w:p>
      <w:r>
        <w:drawing>
          <wp:inline distT="0" distB="0" distL="114300" distR="114300">
            <wp:extent cx="4572000" cy="2743200"/>
            <wp:effectExtent l="4445" t="4445" r="14605" b="14605"/>
            <wp:docPr id="8"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
      <w:pPr>
        <w:spacing w:line="600" w:lineRule="exact"/>
        <w:ind w:firstLine="960" w:firstLineChars="300"/>
        <w:rPr>
          <w:rFonts w:ascii="仿宋" w:hAnsi="仿宋" w:eastAsia="仿宋"/>
          <w:sz w:val="32"/>
          <w:szCs w:val="32"/>
        </w:rPr>
      </w:pPr>
      <w:r>
        <w:rPr>
          <w:rFonts w:hint="eastAsia" w:ascii="仿宋_GB2312" w:hAnsi="仿宋_GB2312" w:eastAsia="仿宋_GB2312" w:cs="仿宋_GB2312"/>
          <w:sz w:val="32"/>
          <w:szCs w:val="32"/>
        </w:rPr>
        <w:t>（图3：支出决算结构图）（饼状图）</w:t>
      </w:r>
    </w:p>
    <w:p>
      <w:pPr>
        <w:spacing w:line="600" w:lineRule="exact"/>
        <w:ind w:firstLine="320" w:firstLineChars="100"/>
        <w:outlineLvl w:val="1"/>
        <w:rPr>
          <w:rStyle w:val="18"/>
          <w:rFonts w:ascii="黑体" w:hAnsi="黑体" w:eastAsia="黑体"/>
          <w:b w:val="0"/>
        </w:rPr>
      </w:pPr>
      <w:bookmarkStart w:id="29" w:name="_Toc15396606"/>
      <w:bookmarkStart w:id="30" w:name="_Toc15377208"/>
      <w:bookmarkStart w:id="31" w:name="_Toc7740"/>
      <w:r>
        <w:rPr>
          <w:rStyle w:val="18"/>
          <w:rFonts w:hint="eastAsia" w:ascii="黑体" w:hAnsi="黑体" w:eastAsia="黑体"/>
          <w:b w:val="0"/>
        </w:rPr>
        <w:t>四、财政拨款收入支出决算总体情况说明</w:t>
      </w:r>
      <w:bookmarkEnd w:id="29"/>
      <w:bookmarkEnd w:id="30"/>
      <w:bookmarkEnd w:id="31"/>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2020年财政拨款收、支总计919.11万元。与2019年相比，财政拨款收、支总计各增加531.56万元，增长137.16%。主要变动原因是财政拨外贸大楼维修改造工程专项资金519.02万元。</w:t>
      </w:r>
    </w:p>
    <w:p/>
    <w:p>
      <w:r>
        <w:drawing>
          <wp:inline distT="0" distB="0" distL="0" distR="0">
            <wp:extent cx="4552315" cy="2723515"/>
            <wp:effectExtent l="19050" t="0" r="19051" b="1"/>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pPr>
      <w:r>
        <w:rPr>
          <w:rFonts w:hint="eastAsia" w:ascii="仿宋_GB2312" w:hAnsi="仿宋_GB2312" w:eastAsia="仿宋_GB2312" w:cs="仿宋_GB2312"/>
          <w:sz w:val="32"/>
          <w:szCs w:val="32"/>
        </w:rPr>
        <w:t>（图4：财政拨款收、支决算总计变动情况）（柱状图）</w:t>
      </w:r>
    </w:p>
    <w:p>
      <w:pPr>
        <w:spacing w:line="600" w:lineRule="exact"/>
        <w:ind w:firstLine="640" w:firstLineChars="200"/>
        <w:outlineLvl w:val="1"/>
        <w:rPr>
          <w:rStyle w:val="18"/>
          <w:rFonts w:ascii="黑体" w:hAnsi="黑体" w:eastAsia="黑体"/>
          <w:b w:val="0"/>
        </w:rPr>
      </w:pPr>
      <w:bookmarkStart w:id="32" w:name="_Toc15377209"/>
      <w:bookmarkStart w:id="33" w:name="_Toc15396607"/>
      <w:bookmarkStart w:id="34" w:name="_Toc31276"/>
      <w:r>
        <w:rPr>
          <w:rStyle w:val="18"/>
          <w:rFonts w:hint="eastAsia" w:ascii="黑体" w:hAnsi="黑体" w:eastAsia="黑体"/>
          <w:b w:val="0"/>
        </w:rPr>
        <w:t>五、一般公共预算财政拨款支出决算情况说明</w:t>
      </w:r>
      <w:bookmarkEnd w:id="32"/>
      <w:bookmarkEnd w:id="33"/>
      <w:bookmarkEnd w:id="34"/>
    </w:p>
    <w:p>
      <w:pPr>
        <w:spacing w:line="600" w:lineRule="exact"/>
        <w:ind w:firstLine="643" w:firstLineChars="200"/>
        <w:outlineLvl w:val="2"/>
        <w:rPr>
          <w:rFonts w:ascii="仿宋_GB2312" w:hAnsi="仿宋_GB2312" w:eastAsia="仿宋_GB2312" w:cs="仿宋_GB2312"/>
          <w:b/>
          <w:sz w:val="32"/>
          <w:szCs w:val="32"/>
        </w:rPr>
      </w:pPr>
      <w:bookmarkStart w:id="35" w:name="_Toc15377210"/>
      <w:r>
        <w:rPr>
          <w:rFonts w:hint="eastAsia" w:ascii="仿宋_GB2312" w:hAnsi="仿宋_GB2312" w:eastAsia="仿宋_GB2312" w:cs="仿宋_GB2312"/>
          <w:b/>
          <w:sz w:val="32"/>
          <w:szCs w:val="32"/>
        </w:rPr>
        <w:t>（一）一般公共预算财政拨款支出决算总体情况</w:t>
      </w:r>
      <w:bookmarkEnd w:id="35"/>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2020年一般公共预算财政拨款支出919.11万元，占本年支出合计的100%。与2019年相比，一般公共预算财政拨款增加531.56万元，增长137.16%。主要变动原因是财政拨外贸大楼维修改造工程专项资金519.02万元。</w:t>
      </w:r>
    </w:p>
    <w:p/>
    <w:p>
      <w:r>
        <w:drawing>
          <wp:inline distT="0" distB="0" distL="0" distR="0">
            <wp:extent cx="4581525" cy="2857500"/>
            <wp:effectExtent l="19050" t="0" r="9525" b="0"/>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pPr>
        <w:spacing w:line="600" w:lineRule="exact"/>
        <w:ind w:firstLine="643" w:firstLineChars="200"/>
        <w:outlineLvl w:val="2"/>
        <w:rPr>
          <w:rFonts w:ascii="仿宋_GB2312" w:hAnsi="仿宋_GB2312" w:eastAsia="仿宋_GB2312" w:cs="仿宋_GB2312"/>
          <w:b/>
          <w:sz w:val="32"/>
          <w:szCs w:val="32"/>
        </w:rPr>
      </w:pPr>
      <w:r>
        <w:rPr>
          <w:rFonts w:hint="eastAsia" w:ascii="仿宋_GB2312" w:hAnsi="仿宋_GB2312" w:eastAsia="仿宋_GB2312" w:cs="仿宋_GB2312"/>
          <w:b/>
          <w:sz w:val="32"/>
          <w:szCs w:val="32"/>
        </w:rPr>
        <w:t>（二）一般公共预算财政拨款支出决算结构情况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一般公共预算财政拨款支出919.11万元，主要用于以下方面:一般公共服务（类）支出795.07万元，占86.5%；社会保障和就业（类）支出69.91万元，占7.61%；卫生健康支出20.04万元，占2.18%；住房保障支出34.09万元，占3.71%。</w:t>
      </w:r>
    </w:p>
    <w:p/>
    <w:p>
      <w:r>
        <w:drawing>
          <wp:inline distT="0" distB="0" distL="0" distR="0">
            <wp:extent cx="4572000" cy="2743200"/>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pPr>
        <w:spacing w:line="600" w:lineRule="exact"/>
        <w:ind w:firstLine="643" w:firstLineChars="200"/>
        <w:outlineLvl w:val="2"/>
        <w:rPr>
          <w:rFonts w:ascii="仿宋_GB2312" w:hAnsi="仿宋_GB2312" w:eastAsia="仿宋_GB2312" w:cs="仿宋_GB2312"/>
          <w:b/>
          <w:sz w:val="32"/>
          <w:szCs w:val="32"/>
        </w:rPr>
      </w:pPr>
      <w:bookmarkStart w:id="36" w:name="_Toc15377212"/>
      <w:r>
        <w:rPr>
          <w:rFonts w:hint="eastAsia" w:ascii="仿宋_GB2312" w:hAnsi="仿宋_GB2312" w:eastAsia="仿宋_GB2312" w:cs="仿宋_GB2312"/>
          <w:b/>
          <w:sz w:val="32"/>
          <w:szCs w:val="32"/>
        </w:rPr>
        <w:t>（三）一般公共预算财政拨款支出决算具体情况</w:t>
      </w:r>
      <w:bookmarkEnd w:id="36"/>
    </w:p>
    <w:p>
      <w:pPr>
        <w:spacing w:line="600" w:lineRule="exact"/>
        <w:ind w:firstLine="643" w:firstLineChars="200"/>
        <w:outlineLvl w:val="2"/>
        <w:rPr>
          <w:rFonts w:ascii="仿宋_GB2312" w:hAnsi="仿宋_GB2312" w:eastAsia="仿宋_GB2312" w:cs="仿宋_GB2312"/>
          <w:sz w:val="32"/>
          <w:szCs w:val="32"/>
        </w:rPr>
      </w:pPr>
      <w:bookmarkStart w:id="37" w:name="_Toc15377213"/>
      <w:bookmarkStart w:id="38" w:name="_Toc15378460"/>
      <w:bookmarkStart w:id="39" w:name="_Toc15377444"/>
      <w:r>
        <w:rPr>
          <w:rFonts w:hint="eastAsia" w:ascii="仿宋_GB2312" w:hAnsi="仿宋_GB2312" w:eastAsia="仿宋_GB2312" w:cs="仿宋_GB2312"/>
          <w:b/>
          <w:sz w:val="32"/>
          <w:szCs w:val="32"/>
        </w:rPr>
        <w:t>2020年一般公共预算支出决算数为919.11万元</w:t>
      </w:r>
      <w:r>
        <w:rPr>
          <w:rFonts w:hint="eastAsia" w:ascii="仿宋_GB2312" w:hAnsi="仿宋_GB2312" w:eastAsia="仿宋_GB2312" w:cs="仿宋_GB2312"/>
          <w:sz w:val="32"/>
          <w:szCs w:val="32"/>
        </w:rPr>
        <w:t>，</w:t>
      </w:r>
      <w:r>
        <w:rPr>
          <w:rStyle w:val="13"/>
          <w:rFonts w:hint="eastAsia" w:ascii="仿宋_GB2312" w:hAnsi="仿宋_GB2312" w:eastAsia="仿宋_GB2312" w:cs="仿宋_GB2312"/>
          <w:bCs/>
          <w:sz w:val="32"/>
          <w:szCs w:val="32"/>
        </w:rPr>
        <w:t>完成预算100%。其</w:t>
      </w:r>
      <w:bookmarkEnd w:id="37"/>
      <w:bookmarkEnd w:id="38"/>
      <w:bookmarkEnd w:id="39"/>
      <w:r>
        <w:rPr>
          <w:rStyle w:val="13"/>
          <w:rFonts w:hint="eastAsia" w:ascii="仿宋_GB2312" w:hAnsi="仿宋_GB2312" w:eastAsia="仿宋_GB2312" w:cs="仿宋_GB2312"/>
          <w:bCs/>
          <w:sz w:val="32"/>
          <w:szCs w:val="32"/>
        </w:rPr>
        <w:t>中：</w:t>
      </w:r>
    </w:p>
    <w:p>
      <w:pPr>
        <w:spacing w:line="600" w:lineRule="exact"/>
        <w:ind w:firstLine="643" w:firstLineChars="200"/>
        <w:rPr>
          <w:rFonts w:ascii="仿宋_GB2312" w:hAnsi="仿宋_GB2312" w:eastAsia="仿宋_GB2312" w:cs="仿宋_GB2312"/>
          <w:sz w:val="32"/>
          <w:szCs w:val="32"/>
        </w:rPr>
      </w:pPr>
      <w:r>
        <w:rPr>
          <w:rStyle w:val="13"/>
          <w:rFonts w:hint="eastAsia" w:ascii="仿宋_GB2312" w:hAnsi="仿宋_GB2312" w:eastAsia="仿宋_GB2312" w:cs="仿宋_GB2312"/>
          <w:bCs/>
          <w:sz w:val="32"/>
          <w:szCs w:val="32"/>
        </w:rPr>
        <w:t>1.一般公共服务（类）商贸事务（款）机关服务（项）:</w:t>
      </w:r>
      <w:r>
        <w:rPr>
          <w:rFonts w:hint="eastAsia" w:ascii="仿宋_GB2312" w:hAnsi="仿宋_GB2312" w:eastAsia="仿宋_GB2312" w:cs="仿宋_GB2312"/>
          <w:sz w:val="32"/>
          <w:szCs w:val="32"/>
        </w:rPr>
        <w:t>支出决算为747.15万元，完成预算100%。</w:t>
      </w:r>
    </w:p>
    <w:p>
      <w:pPr>
        <w:spacing w:line="600" w:lineRule="exact"/>
        <w:ind w:firstLine="643" w:firstLineChars="200"/>
        <w:rPr>
          <w:rStyle w:val="13"/>
          <w:rFonts w:ascii="仿宋_GB2312" w:hAnsi="仿宋_GB2312" w:eastAsia="仿宋_GB2312" w:cs="仿宋_GB2312"/>
          <w:b w:val="0"/>
          <w:bCs/>
          <w:sz w:val="32"/>
          <w:szCs w:val="32"/>
        </w:rPr>
      </w:pPr>
      <w:r>
        <w:rPr>
          <w:rStyle w:val="13"/>
          <w:rFonts w:hint="eastAsia" w:ascii="仿宋_GB2312" w:hAnsi="仿宋_GB2312" w:eastAsia="仿宋_GB2312" w:cs="仿宋_GB2312"/>
          <w:bCs/>
          <w:sz w:val="32"/>
          <w:szCs w:val="32"/>
        </w:rPr>
        <w:t>2.一般公共服务（类）政府办公厅（室）及相关机构事务（款）其他政府办公厅（室）及相关机构事务支出（项）:</w:t>
      </w:r>
      <w:r>
        <w:rPr>
          <w:rFonts w:hint="eastAsia" w:ascii="仿宋_GB2312" w:hAnsi="仿宋_GB2312" w:eastAsia="仿宋_GB2312" w:cs="仿宋_GB2312"/>
          <w:sz w:val="32"/>
          <w:szCs w:val="32"/>
        </w:rPr>
        <w:t>支出决算为21.12万元，完成预算100%。</w:t>
      </w:r>
    </w:p>
    <w:p>
      <w:pPr>
        <w:spacing w:line="600" w:lineRule="exact"/>
        <w:ind w:firstLine="643" w:firstLineChars="200"/>
        <w:rPr>
          <w:rFonts w:ascii="仿宋_GB2312" w:hAnsi="仿宋_GB2312" w:eastAsia="仿宋_GB2312" w:cs="仿宋_GB2312"/>
          <w:sz w:val="32"/>
          <w:szCs w:val="32"/>
        </w:rPr>
      </w:pPr>
      <w:r>
        <w:rPr>
          <w:rStyle w:val="13"/>
          <w:rFonts w:hint="eastAsia" w:ascii="仿宋_GB2312" w:hAnsi="仿宋_GB2312" w:eastAsia="仿宋_GB2312" w:cs="仿宋_GB2312"/>
          <w:bCs/>
          <w:sz w:val="32"/>
          <w:szCs w:val="32"/>
        </w:rPr>
        <w:t>3.一般公共服务（类）其他一般公共服务支出（款）其他一般公共服务支出（项）:</w:t>
      </w:r>
      <w:r>
        <w:rPr>
          <w:rFonts w:hint="eastAsia" w:ascii="仿宋_GB2312" w:hAnsi="仿宋_GB2312" w:eastAsia="仿宋_GB2312" w:cs="仿宋_GB2312"/>
          <w:sz w:val="32"/>
          <w:szCs w:val="32"/>
        </w:rPr>
        <w:t>支出决算为26.80万元，完成预算100%。</w:t>
      </w:r>
    </w:p>
    <w:p>
      <w:pPr>
        <w:spacing w:line="600" w:lineRule="exact"/>
        <w:ind w:firstLine="643" w:firstLineChars="200"/>
        <w:rPr>
          <w:rFonts w:ascii="仿宋_GB2312" w:hAnsi="仿宋_GB2312" w:eastAsia="仿宋_GB2312" w:cs="仿宋_GB2312"/>
          <w:sz w:val="32"/>
          <w:szCs w:val="32"/>
        </w:rPr>
      </w:pPr>
      <w:r>
        <w:rPr>
          <w:rStyle w:val="13"/>
          <w:rFonts w:hint="eastAsia" w:ascii="仿宋_GB2312" w:hAnsi="仿宋_GB2312" w:eastAsia="仿宋_GB2312" w:cs="仿宋_GB2312"/>
          <w:bCs/>
          <w:sz w:val="32"/>
          <w:szCs w:val="32"/>
        </w:rPr>
        <w:t>4.社会保障和就业（类）行政事业单位养老支出（款）事业单位离退休（项）:</w:t>
      </w:r>
      <w:r>
        <w:rPr>
          <w:rFonts w:hint="eastAsia" w:ascii="仿宋_GB2312" w:hAnsi="仿宋_GB2312" w:eastAsia="仿宋_GB2312" w:cs="仿宋_GB2312"/>
          <w:sz w:val="32"/>
          <w:szCs w:val="32"/>
        </w:rPr>
        <w:t>支出决算为39.45万元，完成预算100%。</w:t>
      </w:r>
    </w:p>
    <w:p>
      <w:pPr>
        <w:spacing w:line="600" w:lineRule="exact"/>
        <w:ind w:firstLine="643" w:firstLineChars="200"/>
        <w:rPr>
          <w:rFonts w:ascii="仿宋_GB2312" w:hAnsi="仿宋_GB2312" w:eastAsia="仿宋_GB2312" w:cs="仿宋_GB2312"/>
          <w:sz w:val="32"/>
          <w:szCs w:val="32"/>
        </w:rPr>
      </w:pPr>
      <w:r>
        <w:rPr>
          <w:rStyle w:val="13"/>
          <w:rFonts w:hint="eastAsia" w:ascii="仿宋_GB2312" w:hAnsi="仿宋_GB2312" w:eastAsia="仿宋_GB2312" w:cs="仿宋_GB2312"/>
          <w:bCs/>
          <w:sz w:val="32"/>
          <w:szCs w:val="32"/>
        </w:rPr>
        <w:t>5.社会保障和就业（类）行政事业单位养老支出（款）  机关事业单位基本养老保险缴费支出（项）:</w:t>
      </w:r>
      <w:r>
        <w:rPr>
          <w:rFonts w:hint="eastAsia" w:ascii="仿宋_GB2312" w:hAnsi="仿宋_GB2312" w:eastAsia="仿宋_GB2312" w:cs="仿宋_GB2312"/>
          <w:sz w:val="32"/>
          <w:szCs w:val="32"/>
        </w:rPr>
        <w:t>支出决算为25万元，完成预算100%。</w:t>
      </w:r>
    </w:p>
    <w:p>
      <w:pPr>
        <w:spacing w:line="600" w:lineRule="exact"/>
        <w:ind w:firstLine="643" w:firstLineChars="200"/>
        <w:rPr>
          <w:rFonts w:ascii="仿宋_GB2312" w:hAnsi="仿宋_GB2312" w:eastAsia="仿宋_GB2312" w:cs="仿宋_GB2312"/>
        </w:rPr>
      </w:pPr>
      <w:r>
        <w:rPr>
          <w:rStyle w:val="13"/>
          <w:rFonts w:hint="eastAsia" w:ascii="仿宋_GB2312" w:hAnsi="仿宋_GB2312" w:eastAsia="仿宋_GB2312" w:cs="仿宋_GB2312"/>
          <w:bCs/>
          <w:sz w:val="32"/>
          <w:szCs w:val="32"/>
        </w:rPr>
        <w:t>6.社会保障和就业（类）抚恤（款）死亡抚恤（项）:</w:t>
      </w:r>
      <w:r>
        <w:rPr>
          <w:rFonts w:hint="eastAsia" w:ascii="仿宋_GB2312" w:hAnsi="仿宋_GB2312" w:eastAsia="仿宋_GB2312" w:cs="仿宋_GB2312"/>
          <w:sz w:val="32"/>
          <w:szCs w:val="32"/>
        </w:rPr>
        <w:t>支出决算为5.46万元，完成预算100%。</w:t>
      </w:r>
    </w:p>
    <w:p>
      <w:pPr>
        <w:spacing w:line="600" w:lineRule="exact"/>
        <w:ind w:firstLine="643" w:firstLineChars="200"/>
        <w:rPr>
          <w:rFonts w:ascii="仿宋_GB2312" w:hAnsi="仿宋_GB2312" w:eastAsia="仿宋_GB2312" w:cs="仿宋_GB2312"/>
          <w:b/>
          <w:sz w:val="32"/>
          <w:szCs w:val="32"/>
        </w:rPr>
      </w:pPr>
      <w:r>
        <w:rPr>
          <w:rStyle w:val="13"/>
          <w:rFonts w:hint="eastAsia" w:ascii="仿宋_GB2312" w:hAnsi="仿宋_GB2312" w:eastAsia="仿宋_GB2312" w:cs="仿宋_GB2312"/>
          <w:bCs/>
          <w:sz w:val="32"/>
          <w:szCs w:val="32"/>
        </w:rPr>
        <w:t>7.卫生健康（类）行政事业单位医疗（款）事业单位医疗（项）:</w:t>
      </w:r>
      <w:r>
        <w:rPr>
          <w:rFonts w:hint="eastAsia" w:ascii="仿宋_GB2312" w:hAnsi="仿宋_GB2312" w:eastAsia="仿宋_GB2312" w:cs="仿宋_GB2312"/>
          <w:sz w:val="32"/>
          <w:szCs w:val="32"/>
        </w:rPr>
        <w:t>支出决算为20.04万元，完成预算100%。</w:t>
      </w:r>
    </w:p>
    <w:p>
      <w:pPr>
        <w:spacing w:line="600" w:lineRule="exact"/>
        <w:ind w:firstLine="643" w:firstLineChars="200"/>
        <w:rPr>
          <w:rFonts w:ascii="仿宋_GB2312" w:hAnsi="仿宋_GB2312" w:eastAsia="仿宋_GB2312" w:cs="仿宋_GB2312"/>
          <w:sz w:val="32"/>
          <w:szCs w:val="32"/>
        </w:rPr>
      </w:pPr>
      <w:r>
        <w:rPr>
          <w:rStyle w:val="13"/>
          <w:rFonts w:hint="eastAsia" w:ascii="仿宋_GB2312" w:hAnsi="仿宋_GB2312" w:eastAsia="仿宋_GB2312" w:cs="仿宋_GB2312"/>
          <w:bCs/>
          <w:sz w:val="32"/>
          <w:szCs w:val="32"/>
        </w:rPr>
        <w:t>8.住房保障支出（类）住房改革支出（款）住房公积金（项）</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支出决算为25.91万元，完成预算100%。</w:t>
      </w:r>
    </w:p>
    <w:p>
      <w:pPr>
        <w:spacing w:line="600" w:lineRule="exact"/>
        <w:ind w:firstLine="643" w:firstLineChars="200"/>
        <w:rPr>
          <w:rFonts w:ascii="仿宋_GB2312" w:hAnsi="仿宋_GB2312" w:eastAsia="仿宋_GB2312" w:cs="仿宋_GB2312"/>
          <w:sz w:val="32"/>
          <w:szCs w:val="32"/>
        </w:rPr>
      </w:pPr>
      <w:r>
        <w:rPr>
          <w:rStyle w:val="13"/>
          <w:rFonts w:hint="eastAsia" w:ascii="仿宋_GB2312" w:hAnsi="仿宋_GB2312" w:eastAsia="仿宋_GB2312" w:cs="仿宋_GB2312"/>
          <w:bCs/>
          <w:sz w:val="32"/>
          <w:szCs w:val="32"/>
        </w:rPr>
        <w:t>9.住房保障支出（类）住房改革支出（款）购房补贴 （项）</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支出决算为8.18万元，完成预算100%。</w:t>
      </w:r>
    </w:p>
    <w:p>
      <w:pPr>
        <w:tabs>
          <w:tab w:val="right" w:pos="8306"/>
        </w:tabs>
        <w:spacing w:line="600" w:lineRule="exact"/>
        <w:ind w:firstLine="640"/>
        <w:outlineLvl w:val="1"/>
        <w:rPr>
          <w:rStyle w:val="18"/>
        </w:rPr>
      </w:pPr>
      <w:bookmarkStart w:id="40" w:name="_Toc15377214"/>
      <w:bookmarkStart w:id="41" w:name="_Toc15396608"/>
      <w:bookmarkStart w:id="42" w:name="_Toc10017"/>
      <w:r>
        <w:rPr>
          <w:rStyle w:val="18"/>
          <w:rFonts w:hint="eastAsia" w:ascii="黑体" w:hAnsi="黑体" w:eastAsia="黑体"/>
          <w:b w:val="0"/>
        </w:rPr>
        <w:t>六、一般公共预算财政拨款基本支出决算情况说明</w:t>
      </w:r>
      <w:bookmarkEnd w:id="40"/>
      <w:bookmarkEnd w:id="41"/>
      <w:bookmarkEnd w:id="42"/>
      <w:r>
        <w:rPr>
          <w:rStyle w:val="18"/>
          <w:rFonts w:ascii="黑体" w:hAnsi="黑体" w:eastAsia="黑体"/>
        </w:rPr>
        <w:tab/>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2020年一般公共预算财政拨款基本支出392.09万元，其中：</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356.90万元，主要包括：基本工资、津贴补贴、奖金、绩效工资、机关事业单位基本养老保险缴费、职业年金缴费、其他社会保障缴费、其他工资福利支出、退休费、抚恤金、生活补助、奖励金、住房公积金、其他对个人和家庭的补助支出等。</w:t>
      </w:r>
    </w:p>
    <w:p>
      <w:pPr>
        <w:spacing w:line="600" w:lineRule="exact"/>
        <w:rPr>
          <w:rFonts w:ascii="仿宋" w:hAnsi="仿宋" w:eastAsia="仿宋"/>
          <w:b/>
          <w:sz w:val="32"/>
          <w:szCs w:val="32"/>
        </w:rPr>
      </w:pPr>
      <w:r>
        <w:rPr>
          <w:rFonts w:hint="eastAsia" w:ascii="仿宋" w:hAnsi="仿宋" w:eastAsia="仿宋"/>
          <w:sz w:val="32"/>
          <w:szCs w:val="32"/>
        </w:rPr>
        <w:t>　　</w:t>
      </w:r>
      <w:r>
        <w:rPr>
          <w:rFonts w:hint="eastAsia" w:ascii="仿宋_GB2312" w:hAnsi="仿宋_GB2312" w:eastAsia="仿宋_GB2312" w:cs="仿宋_GB2312"/>
          <w:sz w:val="32"/>
          <w:szCs w:val="32"/>
        </w:rPr>
        <w:t>公用经费35.19万元，主要包括：办公费、印刷费、咨询费、差旅费、维修（护）费、公务接待费、劳务费、工会经费、福利费、公务用车运行维护费、其他商品和服务支出、办公设备购置、其他资本性支出等。</w:t>
      </w:r>
    </w:p>
    <w:p>
      <w:pPr>
        <w:spacing w:line="600" w:lineRule="exact"/>
        <w:ind w:firstLine="640"/>
        <w:outlineLvl w:val="1"/>
        <w:rPr>
          <w:rStyle w:val="18"/>
          <w:rFonts w:ascii="黑体" w:hAnsi="黑体" w:eastAsia="黑体"/>
          <w:b w:val="0"/>
        </w:rPr>
      </w:pPr>
      <w:bookmarkStart w:id="43" w:name="_Toc15396609"/>
      <w:bookmarkStart w:id="44" w:name="_Toc15377215"/>
      <w:bookmarkStart w:id="45" w:name="_Toc29478"/>
      <w:r>
        <w:rPr>
          <w:rStyle w:val="18"/>
          <w:rFonts w:hint="eastAsia" w:ascii="黑体" w:hAnsi="黑体" w:eastAsia="黑体"/>
          <w:b w:val="0"/>
        </w:rPr>
        <w:t>七、“三公”经费财政拨款支出决算情况说明</w:t>
      </w:r>
      <w:bookmarkEnd w:id="43"/>
      <w:bookmarkEnd w:id="44"/>
      <w:bookmarkEnd w:id="45"/>
    </w:p>
    <w:p>
      <w:pPr>
        <w:spacing w:line="600" w:lineRule="exact"/>
        <w:ind w:firstLine="640"/>
        <w:outlineLvl w:val="2"/>
        <w:rPr>
          <w:rFonts w:ascii="仿宋_GB2312" w:hAnsi="仿宋_GB2312" w:eastAsia="仿宋_GB2312" w:cs="仿宋_GB2312"/>
          <w:b/>
          <w:sz w:val="32"/>
          <w:szCs w:val="32"/>
        </w:rPr>
      </w:pPr>
      <w:bookmarkStart w:id="46" w:name="_Toc15377216"/>
      <w:r>
        <w:rPr>
          <w:rFonts w:hint="eastAsia" w:ascii="仿宋_GB2312" w:hAnsi="仿宋_GB2312" w:eastAsia="仿宋_GB2312" w:cs="仿宋_GB2312"/>
          <w:b/>
          <w:sz w:val="32"/>
          <w:szCs w:val="32"/>
        </w:rPr>
        <w:t>（一）“三公”经费财政拨款支出决算总体情况说明</w:t>
      </w:r>
      <w:bookmarkEnd w:id="46"/>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2020年“三公”经费财政拨款支出决算为1.41万元，完成预算100%。</w:t>
      </w:r>
    </w:p>
    <w:p>
      <w:pPr>
        <w:spacing w:line="600" w:lineRule="exact"/>
        <w:ind w:firstLine="640"/>
        <w:outlineLvl w:val="2"/>
        <w:rPr>
          <w:rFonts w:ascii="仿宋_GB2312" w:hAnsi="仿宋_GB2312" w:eastAsia="仿宋_GB2312" w:cs="仿宋_GB2312"/>
          <w:b/>
          <w:sz w:val="32"/>
          <w:szCs w:val="32"/>
        </w:rPr>
      </w:pPr>
      <w:bookmarkStart w:id="47" w:name="_Toc15377217"/>
      <w:r>
        <w:rPr>
          <w:rFonts w:hint="eastAsia" w:ascii="仿宋_GB2312" w:hAnsi="仿宋_GB2312" w:eastAsia="仿宋_GB2312" w:cs="仿宋_GB2312"/>
          <w:b/>
          <w:sz w:val="32"/>
          <w:szCs w:val="32"/>
        </w:rPr>
        <w:t>（二）“三公”经费财政拨款支出决算具体情况说明</w:t>
      </w:r>
      <w:bookmarkEnd w:id="47"/>
    </w:p>
    <w:p>
      <w:pPr>
        <w:spacing w:line="600" w:lineRule="exact"/>
        <w:ind w:firstLine="640"/>
        <w:rPr>
          <w:rFonts w:ascii="仿宋_GB2312" w:hAnsi="仿宋_GB2312" w:eastAsia="仿宋_GB2312" w:cs="仿宋_GB2312"/>
        </w:rPr>
      </w:pPr>
      <w:r>
        <w:rPr>
          <w:rFonts w:hint="eastAsia" w:ascii="仿宋_GB2312" w:hAnsi="仿宋_GB2312" w:eastAsia="仿宋_GB2312" w:cs="仿宋_GB2312"/>
          <w:sz w:val="32"/>
          <w:szCs w:val="32"/>
        </w:rPr>
        <w:t>2020年“三公”经费财政拨款支出决算中，因公出国（境）费支出决算0万元；公务用车购置及运行维护费支出决算1.34万元，占95.04%；公务接待费支出决算0.06万元，占4.26%。具体情况如下：</w:t>
      </w:r>
    </w:p>
    <w:p>
      <w:pPr>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rPr>
        <w:drawing>
          <wp:inline distT="0" distB="0" distL="0" distR="0">
            <wp:extent cx="4572000" cy="2743200"/>
            <wp:effectExtent l="19050" t="0" r="1905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sz w:val="32"/>
          <w:szCs w:val="32"/>
        </w:rPr>
        <w:t>（图7：“三公”经费财政拨款支出结构图）（饼状图）</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sz w:val="32"/>
          <w:szCs w:val="32"/>
        </w:rPr>
        <w:t>1.因公出国（境）经费支出</w:t>
      </w:r>
      <w:r>
        <w:rPr>
          <w:rFonts w:hint="eastAsia" w:ascii="仿宋_GB2312" w:hAnsi="仿宋_GB2312" w:eastAsia="仿宋_GB2312" w:cs="仿宋_GB2312"/>
          <w:sz w:val="32"/>
          <w:szCs w:val="32"/>
        </w:rPr>
        <w:t>0万元。全年安排因公出国（境）团组0次，出国（境）0人。因公出国（境）支出决算比2019年减少0万元，下降0%。</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sz w:val="32"/>
          <w:szCs w:val="32"/>
        </w:rPr>
        <w:t>2.公务用车购置及运行维护费支出</w:t>
      </w:r>
      <w:r>
        <w:rPr>
          <w:rFonts w:hint="eastAsia" w:ascii="仿宋_GB2312" w:hAnsi="仿宋_GB2312" w:eastAsia="仿宋_GB2312" w:cs="仿宋_GB2312"/>
          <w:sz w:val="32"/>
          <w:szCs w:val="32"/>
        </w:rPr>
        <w:t>1.34万元,完成预算100%。公务用车购置及运行维护费支出决算比2019年减少0.6万元，下降44.78%。主要原因是机关服务中心车辆减少一辆，支出费用下降。</w:t>
      </w:r>
    </w:p>
    <w:p>
      <w:pPr>
        <w:spacing w:line="600" w:lineRule="exact"/>
        <w:ind w:firstLine="640" w:firstLineChars="200"/>
        <w:rPr>
          <w:rFonts w:hAnsi="仿宋_GB2312" w:cs="仿宋_GB2312"/>
          <w:color w:val="FF0000"/>
        </w:rPr>
      </w:pPr>
      <w:r>
        <w:rPr>
          <w:rFonts w:hint="eastAsia" w:ascii="仿宋_GB2312" w:eastAsia="仿宋_GB2312"/>
          <w:sz w:val="32"/>
          <w:szCs w:val="32"/>
        </w:rPr>
        <w:t>其中：</w:t>
      </w:r>
      <w:r>
        <w:rPr>
          <w:rFonts w:hint="eastAsia" w:ascii="仿宋_GB2312" w:eastAsia="仿宋_GB2312"/>
          <w:b/>
          <w:sz w:val="32"/>
          <w:szCs w:val="32"/>
        </w:rPr>
        <w:t>公务用车购置费支出0万元。</w:t>
      </w:r>
      <w:r>
        <w:rPr>
          <w:rFonts w:hint="eastAsia" w:ascii="仿宋_GB2312" w:eastAsia="仿宋_GB2312"/>
          <w:sz w:val="32"/>
          <w:szCs w:val="32"/>
        </w:rPr>
        <w:t>单位全年按规定更新购置公务用车0辆，其中：轿车0辆、金额0元，越野车0辆、金额0万元，载客汽车0辆、金额0万元。截至</w:t>
      </w:r>
      <w:r>
        <w:rPr>
          <w:rFonts w:ascii="仿宋_GB2312" w:eastAsia="仿宋_GB2312"/>
          <w:sz w:val="32"/>
          <w:szCs w:val="32"/>
        </w:rPr>
        <w:t>20</w:t>
      </w:r>
      <w:r>
        <w:rPr>
          <w:rFonts w:hint="eastAsia" w:ascii="仿宋_GB2312" w:eastAsia="仿宋_GB2312"/>
          <w:sz w:val="32"/>
          <w:szCs w:val="32"/>
        </w:rPr>
        <w:t>20年</w:t>
      </w:r>
      <w:r>
        <w:rPr>
          <w:rFonts w:ascii="仿宋_GB2312" w:eastAsia="仿宋_GB2312"/>
          <w:sz w:val="32"/>
          <w:szCs w:val="32"/>
        </w:rPr>
        <w:t>12</w:t>
      </w:r>
      <w:r>
        <w:rPr>
          <w:rFonts w:hint="eastAsia" w:ascii="仿宋_GB2312" w:eastAsia="仿宋_GB2312"/>
          <w:sz w:val="32"/>
          <w:szCs w:val="32"/>
        </w:rPr>
        <w:t>月底，单位共有公务用车1辆，其中：轿车1辆、越野车0辆、载客汽车0辆。</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sz w:val="32"/>
          <w:szCs w:val="32"/>
        </w:rPr>
        <w:t>公务用车运行维护费支出</w:t>
      </w:r>
      <w:r>
        <w:rPr>
          <w:rFonts w:hint="eastAsia" w:ascii="仿宋_GB2312" w:hAnsi="仿宋_GB2312" w:eastAsia="仿宋_GB2312" w:cs="仿宋_GB2312"/>
          <w:sz w:val="32"/>
          <w:szCs w:val="32"/>
        </w:rPr>
        <w:t>1.34万元。主要用于四川省商务后勤保障等所需的公务用车燃料费、维修费、过路过桥费、保险费等支出。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sz w:val="32"/>
          <w:szCs w:val="32"/>
        </w:rPr>
        <w:t>3.公务接待费支出</w:t>
      </w:r>
      <w:r>
        <w:rPr>
          <w:rFonts w:hint="eastAsia" w:ascii="仿宋_GB2312" w:hAnsi="仿宋_GB2312" w:eastAsia="仿宋_GB2312" w:cs="仿宋_GB2312"/>
          <w:sz w:val="32"/>
          <w:szCs w:val="32"/>
        </w:rPr>
        <w:t>0.06万元，完成预算100%。公务接待费支出决算比2019年增加0.06万元，增长100%。主要原因是接待相关单位人员费用。其中：餐费0.06万元。</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sz w:val="32"/>
          <w:szCs w:val="32"/>
        </w:rPr>
        <w:t>国内公务接待支出</w:t>
      </w:r>
      <w:r>
        <w:rPr>
          <w:rFonts w:hint="eastAsia" w:ascii="仿宋_GB2312" w:hAnsi="仿宋_GB2312" w:eastAsia="仿宋_GB2312" w:cs="仿宋_GB2312"/>
          <w:sz w:val="32"/>
          <w:szCs w:val="32"/>
        </w:rPr>
        <w:t>0.06万元，主要用于国内公务接待1批次，1人次（不包括陪同人员），共计支出0.06万元，具体内容包括：餐费0.06万元。</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外事接待支出</w:t>
      </w:r>
      <w:r>
        <w:rPr>
          <w:rFonts w:hint="eastAsia" w:ascii="仿宋_GB2312" w:hAnsi="仿宋_GB2312" w:eastAsia="仿宋_GB2312" w:cs="仿宋_GB2312"/>
          <w:sz w:val="32"/>
          <w:szCs w:val="32"/>
        </w:rPr>
        <w:t>0万元，外事接待0批次，0人，共计支出0万元</w:t>
      </w:r>
      <w:bookmarkStart w:id="48" w:name="_Toc15377218"/>
      <w:bookmarkStart w:id="49" w:name="_Toc15396610"/>
      <w:r>
        <w:rPr>
          <w:rFonts w:hint="eastAsia" w:ascii="仿宋_GB2312" w:hAnsi="仿宋_GB2312" w:eastAsia="仿宋_GB2312" w:cs="仿宋_GB2312"/>
          <w:sz w:val="32"/>
          <w:szCs w:val="32"/>
        </w:rPr>
        <w:t>。</w:t>
      </w:r>
    </w:p>
    <w:p>
      <w:pPr>
        <w:spacing w:line="600" w:lineRule="exact"/>
        <w:ind w:firstLine="640"/>
        <w:outlineLvl w:val="1"/>
        <w:rPr>
          <w:rStyle w:val="18"/>
          <w:rFonts w:ascii="黑体" w:hAnsi="黑体" w:eastAsia="黑体"/>
          <w:b w:val="0"/>
        </w:rPr>
      </w:pPr>
      <w:bookmarkStart w:id="50" w:name="_Toc5847"/>
      <w:r>
        <w:rPr>
          <w:rStyle w:val="18"/>
          <w:rFonts w:hint="eastAsia" w:ascii="黑体" w:hAnsi="黑体" w:eastAsia="黑体"/>
          <w:b w:val="0"/>
        </w:rPr>
        <w:t>八、政府性基金预算支出决算情况说明</w:t>
      </w:r>
      <w:bookmarkEnd w:id="48"/>
      <w:bookmarkEnd w:id="49"/>
      <w:bookmarkEnd w:id="50"/>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2020年政府性基金预算财政拨款支出0万元。</w:t>
      </w:r>
    </w:p>
    <w:p>
      <w:pPr>
        <w:spacing w:line="600" w:lineRule="exact"/>
        <w:ind w:firstLine="640"/>
        <w:outlineLvl w:val="1"/>
        <w:rPr>
          <w:rStyle w:val="18"/>
          <w:rFonts w:ascii="黑体" w:hAnsi="黑体" w:eastAsia="黑体"/>
          <w:b w:val="0"/>
        </w:rPr>
      </w:pPr>
      <w:bookmarkStart w:id="51" w:name="_Toc15377219"/>
      <w:bookmarkStart w:id="52" w:name="_Toc15396611"/>
      <w:bookmarkStart w:id="53" w:name="_Toc21302"/>
      <w:r>
        <w:rPr>
          <w:rStyle w:val="18"/>
          <w:rFonts w:hint="eastAsia" w:ascii="黑体" w:hAnsi="黑体" w:eastAsia="黑体"/>
          <w:b w:val="0"/>
        </w:rPr>
        <w:t>九、国有资本经营预算支出决算情况说明</w:t>
      </w:r>
      <w:bookmarkEnd w:id="51"/>
      <w:bookmarkEnd w:id="52"/>
      <w:bookmarkEnd w:id="53"/>
    </w:p>
    <w:p>
      <w:pPr>
        <w:spacing w:line="600" w:lineRule="exact"/>
        <w:ind w:firstLine="640"/>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2020年国有资本经营预算财政拨款支出0万元。</w:t>
      </w:r>
    </w:p>
    <w:p>
      <w:pPr>
        <w:spacing w:line="600" w:lineRule="exact"/>
        <w:ind w:firstLine="640"/>
        <w:outlineLvl w:val="1"/>
        <w:rPr>
          <w:rStyle w:val="18"/>
          <w:rFonts w:ascii="黑体" w:hAnsi="黑体" w:eastAsia="黑体"/>
          <w:b w:val="0"/>
        </w:rPr>
      </w:pPr>
      <w:bookmarkStart w:id="54" w:name="_Toc15377221"/>
      <w:bookmarkStart w:id="55" w:name="_Toc15396612"/>
      <w:bookmarkStart w:id="56" w:name="_Toc11191"/>
      <w:r>
        <w:rPr>
          <w:rStyle w:val="18"/>
          <w:rFonts w:hint="eastAsia" w:ascii="黑体" w:hAnsi="黑体" w:eastAsia="黑体"/>
          <w:b w:val="0"/>
        </w:rPr>
        <w:t>十、其他重要事项的情况说明</w:t>
      </w:r>
      <w:bookmarkEnd w:id="54"/>
      <w:bookmarkEnd w:id="55"/>
      <w:bookmarkEnd w:id="56"/>
    </w:p>
    <w:p>
      <w:pPr>
        <w:spacing w:line="600" w:lineRule="exact"/>
        <w:ind w:firstLine="643" w:firstLineChars="200"/>
        <w:outlineLvl w:val="2"/>
        <w:rPr>
          <w:rFonts w:ascii="仿宋_GB2312" w:hAnsi="仿宋_GB2312" w:eastAsia="仿宋_GB2312" w:cs="仿宋_GB2312"/>
          <w:sz w:val="32"/>
          <w:szCs w:val="32"/>
        </w:rPr>
      </w:pPr>
      <w:bookmarkStart w:id="57" w:name="_Toc15377222"/>
      <w:r>
        <w:rPr>
          <w:rFonts w:hint="eastAsia" w:ascii="仿宋_GB2312" w:hAnsi="仿宋_GB2312" w:eastAsia="仿宋_GB2312" w:cs="仿宋_GB2312"/>
          <w:b/>
          <w:sz w:val="32"/>
          <w:szCs w:val="32"/>
        </w:rPr>
        <w:t>（一）机关运行经费支出情况</w:t>
      </w:r>
      <w:bookmarkEnd w:id="57"/>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四川省商务厅机关服务中心为事业单位，无机关运行经费。</w:t>
      </w:r>
    </w:p>
    <w:p>
      <w:pPr>
        <w:autoSpaceDE w:val="0"/>
        <w:autoSpaceDN w:val="0"/>
        <w:adjustRightInd w:val="0"/>
        <w:spacing w:line="600" w:lineRule="exact"/>
        <w:ind w:firstLine="643" w:firstLineChars="200"/>
        <w:jc w:val="left"/>
        <w:outlineLvl w:val="2"/>
        <w:rPr>
          <w:rFonts w:ascii="仿宋_GB2312" w:hAnsi="仿宋_GB2312" w:eastAsia="仿宋_GB2312" w:cs="仿宋_GB2312"/>
          <w:b/>
          <w:sz w:val="32"/>
          <w:szCs w:val="32"/>
        </w:rPr>
      </w:pPr>
      <w:bookmarkStart w:id="58" w:name="_Toc15377223"/>
      <w:r>
        <w:rPr>
          <w:rFonts w:hint="eastAsia" w:ascii="仿宋_GB2312" w:hAnsi="仿宋_GB2312" w:eastAsia="仿宋_GB2312" w:cs="仿宋_GB2312"/>
          <w:b/>
          <w:sz w:val="32"/>
          <w:szCs w:val="32"/>
        </w:rPr>
        <w:t>（二）政府采购支出情况</w:t>
      </w:r>
      <w:bookmarkEnd w:id="58"/>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商务厅机关服务中心政府采购支出总额1.35万元，其中：政府采购货物支出0万元、政府采购工程支出0万元、政府采购服务支出1.35万元。主要用于购买汽车保险车辆维修保养等。授予中小企业合同金额0万元，占政府采购支出总额的0%，其中：授予小微企业合同金额0万元，占政府采购支出总额的0%。</w:t>
      </w:r>
    </w:p>
    <w:p>
      <w:pPr>
        <w:autoSpaceDE w:val="0"/>
        <w:autoSpaceDN w:val="0"/>
        <w:adjustRightInd w:val="0"/>
        <w:spacing w:line="600" w:lineRule="exact"/>
        <w:ind w:firstLine="643" w:firstLineChars="200"/>
        <w:jc w:val="left"/>
        <w:outlineLvl w:val="2"/>
        <w:rPr>
          <w:rFonts w:ascii="仿宋_GB2312" w:hAnsi="仿宋_GB2312" w:eastAsia="仿宋_GB2312" w:cs="仿宋_GB2312"/>
          <w:b/>
          <w:sz w:val="32"/>
          <w:szCs w:val="32"/>
        </w:rPr>
      </w:pPr>
      <w:bookmarkStart w:id="59" w:name="_Toc15377224"/>
      <w:r>
        <w:rPr>
          <w:rFonts w:hint="eastAsia" w:ascii="仿宋_GB2312" w:hAnsi="仿宋_GB2312" w:eastAsia="仿宋_GB2312" w:cs="仿宋_GB2312"/>
          <w:b/>
          <w:sz w:val="32"/>
          <w:szCs w:val="32"/>
        </w:rPr>
        <w:t>（三）国有资产占有使用情况</w:t>
      </w:r>
      <w:bookmarkEnd w:id="59"/>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2020年12月31日，商务厅机关服务中心共有车辆一辆，其中：主要领导干部用车0辆、机要通信用车0辆、应急保障用车0辆、其他用车1辆，其他用车主要是用于公务出行。单价50万元以上通用设备0台（套），单价100万元以上专用设备0台（套）。</w:t>
      </w:r>
    </w:p>
    <w:p>
      <w:pPr>
        <w:autoSpaceDE w:val="0"/>
        <w:autoSpaceDN w:val="0"/>
        <w:adjustRightInd w:val="0"/>
        <w:spacing w:line="600" w:lineRule="exact"/>
        <w:ind w:firstLine="643" w:firstLineChars="200"/>
        <w:jc w:val="left"/>
        <w:outlineLvl w:val="2"/>
        <w:rPr>
          <w:rFonts w:ascii="仿宋_GB2312" w:hAnsi="仿宋_GB2312" w:eastAsia="仿宋_GB2312" w:cs="仿宋_GB2312"/>
          <w:b/>
          <w:sz w:val="32"/>
          <w:szCs w:val="32"/>
        </w:rPr>
      </w:pPr>
      <w:r>
        <w:rPr>
          <w:rFonts w:hint="eastAsia" w:ascii="仿宋_GB2312" w:hAnsi="仿宋_GB2312" w:eastAsia="仿宋_GB2312" w:cs="仿宋_GB2312"/>
          <w:b/>
          <w:sz w:val="32"/>
          <w:szCs w:val="32"/>
        </w:rPr>
        <w:t>（四）预算绩效管理情况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2020年度预算编制阶段，组织对1项目（项目名称）开展了预算事前绩效评估，对1个项目编制了绩效目标，预算执行过程中，选取个项目开展绩效监控，年终执行完毕后，对1个项目开展了绩效目标完成情况自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2020年整体支出开展绩效自评，从评价情况来看，达到了预期目标和要求。本单位还自行组织了1个项目支出绩效评价，从评价情况来看，该项目施工按照合同约定的工期和阶段正常推进。截止2020年底，已完成整个项目施工阶段的90%，并按合同约定支付了施工、设计监理、造价等进度费用。</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1.项目绩效目标完成情况。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本单位在2020年度部门决算中反映1个项目绩效目标实际完成情况。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项目绩效目标完成情况综述。项目全年预算数519.02万元，执行数为519.02万元，完成预算的100%。通过项目实施，保障机关办公的正常进行，促进了商务事业的发展，提高了干部职工的工作积极性。</w:t>
      </w:r>
    </w:p>
    <w:tbl>
      <w:tblPr>
        <w:tblStyle w:val="1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bCs/>
                <w:kern w:val="0"/>
                <w:sz w:val="36"/>
                <w:szCs w:val="36"/>
              </w:rPr>
            </w:pPr>
            <w:r>
              <w:rPr>
                <w:rFonts w:hint="eastAsia" w:ascii="宋体" w:hAnsi="宋体" w:cs="宋体"/>
                <w:b/>
                <w:bCs/>
                <w:kern w:val="0"/>
                <w:sz w:val="36"/>
                <w:szCs w:val="36"/>
              </w:rPr>
              <w:t>项目绩效目标完成情况表</w:t>
            </w:r>
          </w:p>
          <w:p>
            <w:pPr>
              <w:widowControl/>
              <w:jc w:val="center"/>
              <w:textAlignment w:val="center"/>
              <w:rPr>
                <w:rFonts w:ascii="宋体" w:hAnsi="宋体" w:cs="宋体"/>
                <w:sz w:val="36"/>
                <w:szCs w:val="36"/>
              </w:rPr>
            </w:pPr>
            <w:r>
              <w:rPr>
                <w:rFonts w:hint="eastAsia" w:ascii="宋体" w:hAnsi="宋体" w:cs="宋体"/>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cs="宋体"/>
                <w:sz w:val="24"/>
              </w:rPr>
              <w:t>商务厅外贸大楼维修改造项目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cs="宋体"/>
                <w:sz w:val="24"/>
              </w:rPr>
              <w:t>四川省商务厅机关服务中心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cs="宋体"/>
                <w:sz w:val="24"/>
              </w:rPr>
              <w:t>519.02万元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cs="宋体"/>
                <w:sz w:val="24"/>
              </w:rPr>
              <w:t>519.02万元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cs="宋体"/>
                <w:sz w:val="24"/>
              </w:rPr>
              <w:t>519.02万元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cs="宋体"/>
                <w:sz w:val="24"/>
              </w:rPr>
              <w:t>519.02万元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cs="宋体"/>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 w:val="24"/>
              </w:rPr>
            </w:pPr>
            <w:r>
              <w:rPr>
                <w:rFonts w:hint="eastAsia" w:ascii="宋体" w:hAnsi="宋体" w:cs="宋体"/>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cs="宋体"/>
                <w:sz w:val="24"/>
              </w:rPr>
              <w:t>完成整个项目的90%</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cs="宋体"/>
                <w:sz w:val="24"/>
              </w:rPr>
              <w:t>整个项目的90%</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项目完成值</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完成整个项目的90%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该项目施工按照合同约定的工期和阶段正常推进。截止2020年底，已完成整个项目施工阶段的90%，并按合同约定支付了施工、设计监理、造价等进度费用。</w:t>
            </w:r>
          </w:p>
          <w:p>
            <w:pPr>
              <w:widowControl/>
              <w:jc w:val="center"/>
              <w:textAlignment w:val="center"/>
              <w:rPr>
                <w:rFonts w:ascii="宋体" w:hAnsi="宋体" w:cs="宋体"/>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单位满意度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99%</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r>
    </w:tbl>
    <w:p>
      <w:pPr>
        <w:spacing w:line="580" w:lineRule="exact"/>
        <w:rPr>
          <w:rFonts w:ascii="楷体_GB2312" w:hAnsi="楷体_GB2312" w:eastAsia="楷体_GB2312" w:cs="楷体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2.单位绩效评价结果。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本单位自行组织对商务厅外贸大楼维修改造项目开展了绩效评价，《</w:t>
      </w: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CN"/>
        </w:rPr>
        <w:t>年商务厅外贸大楼维修改造项目支出绩效自评报告</w:t>
      </w:r>
      <w:r>
        <w:rPr>
          <w:rFonts w:hint="eastAsia" w:ascii="仿宋_GB2312" w:hAnsi="仿宋_GB2312" w:eastAsia="仿宋_GB2312" w:cs="仿宋_GB2312"/>
          <w:sz w:val="32"/>
          <w:szCs w:val="32"/>
        </w:rPr>
        <w:t>》见附件（第四部分）。</w:t>
      </w:r>
    </w:p>
    <w:p>
      <w:pPr>
        <w:pStyle w:val="2"/>
        <w:spacing w:before="93"/>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2"/>
        </w:numPr>
        <w:spacing w:line="600" w:lineRule="exact"/>
        <w:ind w:firstLine="660" w:firstLineChars="150"/>
        <w:jc w:val="center"/>
        <w:outlineLvl w:val="0"/>
        <w:rPr>
          <w:rFonts w:ascii="黑体" w:hAnsi="黑体" w:eastAsia="黑体" w:cs="Times New Roman"/>
          <w:color w:val="000000"/>
          <w:sz w:val="44"/>
          <w:szCs w:val="44"/>
        </w:rPr>
      </w:pPr>
      <w:bookmarkStart w:id="60" w:name="_Toc15396613"/>
      <w:bookmarkStart w:id="61" w:name="_Toc15377225"/>
      <w:bookmarkStart w:id="62" w:name="_Toc11654"/>
      <w:r>
        <w:rPr>
          <w:rFonts w:hint="eastAsia" w:ascii="黑体" w:hAnsi="黑体" w:eastAsia="黑体" w:cs="Times New Roman"/>
          <w:color w:val="000000"/>
          <w:sz w:val="44"/>
          <w:szCs w:val="44"/>
        </w:rPr>
        <w:t>名词解释</w:t>
      </w:r>
      <w:bookmarkEnd w:id="60"/>
      <w:bookmarkEnd w:id="61"/>
      <w:bookmarkEnd w:id="62"/>
    </w:p>
    <w:p>
      <w:pPr>
        <w:spacing w:line="600" w:lineRule="exact"/>
        <w:jc w:val="left"/>
        <w:rPr>
          <w:rFonts w:ascii="宋体"/>
          <w:b/>
          <w:color w:val="000000"/>
          <w:sz w:val="44"/>
          <w:szCs w:val="44"/>
        </w:rPr>
      </w:pPr>
    </w:p>
    <w:p>
      <w:pPr>
        <w:pStyle w:val="22"/>
        <w:spacing w:line="560" w:lineRule="exact"/>
        <w:ind w:firstLine="640" w:firstLineChars="200"/>
        <w:rPr>
          <w:rFonts w:ascii="仿宋_GB2312" w:hAnsi="仿宋_GB2312" w:eastAsia="仿宋_GB2312" w:cs="仿宋_GB2312"/>
          <w:color w:val="auto"/>
          <w:kern w:val="2"/>
          <w:sz w:val="32"/>
          <w:szCs w:val="32"/>
        </w:rPr>
      </w:pPr>
      <w:r>
        <w:rPr>
          <w:rFonts w:ascii="仿宋_GB2312" w:eastAsia="仿宋_GB2312"/>
          <w:sz w:val="32"/>
          <w:szCs w:val="32"/>
        </w:rPr>
        <w:t>1.</w:t>
      </w:r>
      <w:r>
        <w:rPr>
          <w:rFonts w:hint="eastAsia" w:ascii="仿宋_GB2312" w:hAnsi="仿宋_GB2312" w:eastAsia="仿宋_GB2312" w:cs="仿宋_GB2312"/>
          <w:color w:val="auto"/>
          <w:kern w:val="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使用非财政拨款结余：指事业单位使用以前年度积累的非财政拨款结余弥补当年收支差额的金额。</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结余分配：指事业单位按照会计制度规定缴纳的所得税、提取的专用结余以及转入非财政拨款结余的金额等。</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5.年末结转和结余：指单位按有关规定结转到下年或以后年度继续使用的资金。</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6.一般公共服务（类）商贸事务（款）机关服务（项）:指四川省商务厅机关服务中心的项目支出。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7.一般公共服务（类）政府办公厅（室）及相关机构事务（款）其他政府办公厅（室）及相关机构事务支出（项）:指四川省商务厅机关服务中心的项目支出。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8.一般公共服务（类）其他一般公共服务支出（款）其他一般公共服务支出（项）:指四川省商务厅机关服务中心的项目支出。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9.社会保障和就业（类）行政事业单位养老支出（款）事业单位离退休（项）:指四川省商务厅机关服务中心</w:t>
      </w:r>
      <w:r>
        <w:rPr>
          <w:rFonts w:hint="eastAsia" w:ascii="仿宋_GB2312" w:eastAsia="仿宋_GB2312"/>
          <w:sz w:val="32"/>
          <w:szCs w:val="32"/>
        </w:rPr>
        <w:t>的</w:t>
      </w:r>
      <w:r>
        <w:rPr>
          <w:rFonts w:ascii="仿宋_GB2312" w:eastAsia="仿宋_GB2312"/>
          <w:sz w:val="32"/>
          <w:szCs w:val="32"/>
        </w:rPr>
        <w:t>离退休</w:t>
      </w:r>
      <w:r>
        <w:rPr>
          <w:rFonts w:hint="eastAsia" w:ascii="仿宋_GB2312" w:eastAsia="仿宋_GB2312"/>
          <w:sz w:val="32"/>
          <w:szCs w:val="32"/>
        </w:rPr>
        <w:t>经费支出</w:t>
      </w:r>
      <w:r>
        <w:rPr>
          <w:rFonts w:hint="eastAsia" w:ascii="仿宋_GB2312" w:hAnsi="Calibri" w:eastAsia="仿宋_GB2312" w:cs="仿宋"/>
          <w:color w:val="000000"/>
          <w:kern w:val="0"/>
          <w:sz w:val="32"/>
          <w:szCs w:val="32"/>
        </w:rPr>
        <w:t>。</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10.社会保障和就业（类）行政事业单位养老支出（款）  机关事业单位基本养老保险缴费支出（项）:指四川省商务厅机关服务中心</w:t>
      </w:r>
      <w:r>
        <w:rPr>
          <w:rFonts w:hint="eastAsia" w:ascii="仿宋_GB2312" w:eastAsia="仿宋_GB2312"/>
          <w:sz w:val="32"/>
          <w:szCs w:val="32"/>
        </w:rPr>
        <w:t>的基本养老保险支出</w:t>
      </w:r>
      <w:r>
        <w:rPr>
          <w:rFonts w:hint="eastAsia" w:ascii="仿宋_GB2312" w:hAnsi="Calibri" w:eastAsia="仿宋_GB2312" w:cs="仿宋"/>
          <w:color w:val="000000"/>
          <w:kern w:val="0"/>
          <w:sz w:val="32"/>
          <w:szCs w:val="32"/>
        </w:rPr>
        <w:t>。</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11.社会保障和就业（类）抚恤（款）死亡抚恤（项）:指四川省商务厅机关服务中心</w:t>
      </w:r>
      <w:r>
        <w:rPr>
          <w:rFonts w:hint="eastAsia" w:ascii="仿宋_GB2312" w:eastAsia="仿宋_GB2312"/>
          <w:sz w:val="32"/>
          <w:szCs w:val="32"/>
        </w:rPr>
        <w:t>的</w:t>
      </w:r>
      <w:r>
        <w:rPr>
          <w:rFonts w:hint="eastAsia" w:ascii="仿宋_GB2312" w:hAnsi="Calibri" w:eastAsia="仿宋_GB2312" w:cs="仿宋"/>
          <w:color w:val="000000"/>
          <w:kern w:val="0"/>
          <w:sz w:val="32"/>
          <w:szCs w:val="32"/>
        </w:rPr>
        <w:t>死亡抚恤金</w:t>
      </w:r>
      <w:r>
        <w:rPr>
          <w:rFonts w:hint="eastAsia" w:ascii="仿宋_GB2312" w:eastAsia="仿宋_GB2312"/>
          <w:sz w:val="32"/>
          <w:szCs w:val="32"/>
        </w:rPr>
        <w:t>支出</w:t>
      </w:r>
      <w:r>
        <w:rPr>
          <w:rFonts w:hint="eastAsia" w:ascii="仿宋_GB2312" w:hAnsi="Calibri" w:eastAsia="仿宋_GB2312" w:cs="仿宋"/>
          <w:color w:val="000000"/>
          <w:kern w:val="0"/>
          <w:sz w:val="32"/>
          <w:szCs w:val="32"/>
        </w:rPr>
        <w:t>。</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12.卫生健康（类）行政事业单位医疗（款）事业单位医疗（项）:指四川省商务厅机关服务中心</w:t>
      </w:r>
      <w:r>
        <w:rPr>
          <w:rFonts w:hint="eastAsia" w:ascii="仿宋_GB2312" w:eastAsia="仿宋_GB2312"/>
          <w:sz w:val="32"/>
          <w:szCs w:val="32"/>
        </w:rPr>
        <w:t>的</w:t>
      </w:r>
      <w:r>
        <w:rPr>
          <w:rFonts w:hint="eastAsia" w:ascii="仿宋_GB2312" w:hAnsi="Calibri" w:eastAsia="仿宋_GB2312" w:cs="仿宋"/>
          <w:color w:val="000000"/>
          <w:kern w:val="0"/>
          <w:sz w:val="32"/>
          <w:szCs w:val="32"/>
        </w:rPr>
        <w:t>医疗保险缴费。</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13.住房保障支出（类）住房改革支出（款）住房公积金（项）：指四川省商务厅机关服务中心</w:t>
      </w:r>
      <w:r>
        <w:rPr>
          <w:rFonts w:hint="eastAsia" w:ascii="仿宋_GB2312" w:eastAsia="仿宋_GB2312"/>
          <w:sz w:val="32"/>
          <w:szCs w:val="32"/>
        </w:rPr>
        <w:t>的</w:t>
      </w:r>
      <w:r>
        <w:rPr>
          <w:rFonts w:hint="eastAsia" w:ascii="仿宋_GB2312" w:hAnsi="Calibri" w:eastAsia="仿宋_GB2312" w:cs="仿宋"/>
          <w:color w:val="000000"/>
          <w:kern w:val="0"/>
          <w:sz w:val="32"/>
          <w:szCs w:val="32"/>
        </w:rPr>
        <w:t>住房公积金支出。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14.住房障支出（类）住房改革支出（款）购房补贴 （项）：指四川省商务厅机关服务中心</w:t>
      </w:r>
      <w:r>
        <w:rPr>
          <w:rFonts w:hint="eastAsia" w:ascii="仿宋_GB2312" w:eastAsia="仿宋_GB2312"/>
          <w:sz w:val="32"/>
          <w:szCs w:val="32"/>
        </w:rPr>
        <w:t>的</w:t>
      </w:r>
      <w:r>
        <w:rPr>
          <w:rFonts w:hint="eastAsia" w:ascii="仿宋_GB2312" w:hAnsi="Calibri" w:eastAsia="仿宋_GB2312" w:cs="仿宋"/>
          <w:color w:val="000000"/>
          <w:kern w:val="0"/>
          <w:sz w:val="32"/>
          <w:szCs w:val="32"/>
        </w:rPr>
        <w:t>购房补贴支出。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Fonts w:ascii="宋体"/>
          <w:b/>
          <w:color w:val="000000"/>
          <w:sz w:val="44"/>
          <w:szCs w:val="44"/>
        </w:rPr>
      </w:pPr>
      <w:bookmarkStart w:id="63" w:name="_Toc15377226"/>
      <w:r>
        <w:rPr>
          <w:rFonts w:ascii="宋体"/>
          <w:b/>
          <w:color w:val="000000"/>
          <w:sz w:val="44"/>
          <w:szCs w:val="44"/>
        </w:rPr>
        <w:br w:type="page"/>
      </w:r>
      <w:bookmarkStart w:id="64" w:name="_Toc15396614"/>
    </w:p>
    <w:p>
      <w:pPr>
        <w:spacing w:line="600" w:lineRule="exact"/>
        <w:jc w:val="center"/>
        <w:outlineLvl w:val="0"/>
        <w:rPr>
          <w:rStyle w:val="17"/>
          <w:rFonts w:ascii="黑体" w:hAnsi="黑体" w:eastAsia="黑体"/>
          <w:b w:val="0"/>
        </w:rPr>
      </w:pPr>
      <w:bookmarkStart w:id="65" w:name="_Toc10643"/>
      <w:r>
        <w:rPr>
          <w:rFonts w:hint="eastAsia" w:ascii="黑体" w:hAnsi="黑体" w:eastAsia="黑体"/>
          <w:color w:val="000000"/>
          <w:sz w:val="44"/>
          <w:szCs w:val="44"/>
        </w:rPr>
        <w:t>第</w:t>
      </w:r>
      <w:r>
        <w:rPr>
          <w:rStyle w:val="17"/>
          <w:rFonts w:hint="eastAsia" w:ascii="黑体" w:hAnsi="黑体" w:eastAsia="黑体"/>
          <w:b w:val="0"/>
        </w:rPr>
        <w:t>四部分 附件</w:t>
      </w:r>
      <w:bookmarkEnd w:id="65"/>
    </w:p>
    <w:p>
      <w:pPr>
        <w:spacing w:line="580" w:lineRule="exact"/>
        <w:rPr>
          <w:rFonts w:ascii="仿宋_GB2312" w:hAnsi="仿宋_GB2312" w:eastAsia="仿宋_GB2312" w:cs="仿宋_GB2312"/>
          <w:sz w:val="32"/>
          <w:szCs w:val="32"/>
        </w:rPr>
      </w:pPr>
    </w:p>
    <w:p>
      <w:pPr>
        <w:spacing w:line="600" w:lineRule="exact"/>
        <w:jc w:val="center"/>
        <w:outlineLvl w:val="1"/>
        <w:rPr>
          <w:rFonts w:ascii="方正小标宋简体" w:hAnsi="宋体" w:eastAsia="方正小标宋简体"/>
          <w:kern w:val="0"/>
          <w:sz w:val="44"/>
          <w:szCs w:val="44"/>
          <w:lang w:val="zh-CN"/>
        </w:rPr>
      </w:pPr>
      <w:bookmarkStart w:id="66" w:name="_Toc1711"/>
      <w:r>
        <w:rPr>
          <w:rFonts w:hint="eastAsia" w:ascii="方正小标宋简体" w:hAnsi="宋体" w:eastAsia="方正小标宋简体"/>
          <w:color w:val="000000" w:themeColor="text1"/>
          <w:kern w:val="0"/>
          <w:sz w:val="44"/>
          <w:szCs w:val="44"/>
          <w:lang w:val="zh-CN"/>
        </w:rPr>
        <w:t>202</w:t>
      </w:r>
      <w:r>
        <w:rPr>
          <w:rFonts w:hint="eastAsia" w:ascii="方正小标宋简体" w:hAnsi="宋体" w:eastAsia="方正小标宋简体"/>
          <w:color w:val="000000" w:themeColor="text1"/>
          <w:kern w:val="0"/>
          <w:sz w:val="44"/>
          <w:szCs w:val="44"/>
        </w:rPr>
        <w:t>0</w:t>
      </w:r>
      <w:r>
        <w:rPr>
          <w:rFonts w:hint="eastAsia" w:ascii="方正小标宋简体" w:hAnsi="宋体" w:eastAsia="方正小标宋简体"/>
          <w:color w:val="000000" w:themeColor="text1"/>
          <w:kern w:val="0"/>
          <w:sz w:val="44"/>
          <w:szCs w:val="44"/>
          <w:lang w:val="zh-CN"/>
        </w:rPr>
        <w:t>年</w:t>
      </w:r>
      <w:r>
        <w:rPr>
          <w:rFonts w:hint="eastAsia" w:ascii="方正小标宋简体" w:hAnsi="宋体" w:eastAsia="方正小标宋简体"/>
          <w:kern w:val="0"/>
          <w:sz w:val="44"/>
          <w:szCs w:val="44"/>
          <w:lang w:val="zh-CN"/>
        </w:rPr>
        <w:t>商务厅外贸大楼维修改造项目支出绩效自评报告</w:t>
      </w:r>
      <w:bookmarkEnd w:id="66"/>
    </w:p>
    <w:p>
      <w:pPr>
        <w:spacing w:line="600" w:lineRule="exact"/>
        <w:ind w:firstLine="640"/>
        <w:jc w:val="center"/>
        <w:rPr>
          <w:rFonts w:ascii="宋体" w:hAnsi="宋体"/>
          <w:sz w:val="32"/>
          <w:szCs w:val="32"/>
          <w:lang w:val="zh-CN"/>
        </w:rPr>
      </w:pPr>
    </w:p>
    <w:p>
      <w:pPr>
        <w:adjustRightInd w:val="0"/>
        <w:snapToGrid w:val="0"/>
        <w:spacing w:line="600" w:lineRule="exact"/>
        <w:ind w:firstLine="720"/>
        <w:outlineLvl w:val="1"/>
        <w:rPr>
          <w:rFonts w:ascii="黑体" w:hAnsi="宋体" w:eastAsia="黑体"/>
          <w:sz w:val="32"/>
          <w:szCs w:val="32"/>
          <w:lang w:val="zh-CN"/>
        </w:rPr>
      </w:pPr>
      <w:bookmarkStart w:id="67" w:name="_Toc255364705_WPSOffice_Level2"/>
      <w:bookmarkStart w:id="68" w:name="_Toc14979"/>
      <w:r>
        <w:rPr>
          <w:rFonts w:hint="eastAsia" w:ascii="黑体" w:hAnsi="宋体" w:eastAsia="黑体"/>
          <w:sz w:val="32"/>
          <w:szCs w:val="32"/>
        </w:rPr>
        <w:t>一、</w:t>
      </w:r>
      <w:r>
        <w:rPr>
          <w:rFonts w:hint="eastAsia" w:ascii="黑体" w:hAnsi="宋体" w:eastAsia="黑体"/>
          <w:sz w:val="32"/>
          <w:szCs w:val="32"/>
          <w:lang w:val="zh-CN"/>
        </w:rPr>
        <w:t>项目概况</w:t>
      </w:r>
      <w:bookmarkEnd w:id="67"/>
      <w:bookmarkEnd w:id="68"/>
    </w:p>
    <w:p>
      <w:pPr>
        <w:spacing w:line="540" w:lineRule="exact"/>
        <w:ind w:firstLine="640" w:firstLineChars="200"/>
        <w:rPr>
          <w:rFonts w:ascii="仿宋" w:hAnsi="仿宋" w:eastAsia="仿宋" w:cs="仿宋"/>
          <w:sz w:val="32"/>
          <w:szCs w:val="32"/>
        </w:rPr>
      </w:pPr>
      <w:r>
        <w:rPr>
          <w:rFonts w:hint="eastAsia" w:ascii="仿宋_GB2312" w:hAnsi="Calibri" w:eastAsia="仿宋_GB2312" w:cs="仿宋"/>
          <w:color w:val="000000"/>
          <w:kern w:val="0"/>
          <w:sz w:val="32"/>
          <w:szCs w:val="32"/>
        </w:rPr>
        <w:t>外贸大楼维修改造工程的业主单位为四川省商务厅，施工地点为成都市青羊区人民中路三段16号。</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 xml:space="preserve"> 2019年11月15日，四川省商务厅以《关于外贸大楼（人民中路三段16号）维修改造项目申请立项的函》（川商函[2019]423号），向四川省机关事务管理局申请外贸大楼维修改造项目立项。2019年11月25日，四川省机关事务管理局回复《关于同意商务厅外贸大楼维修改造立项的复函》（川机管函[2019]1466号）同意外贸大楼维修改造立项。项目建设内容：装饰装修改造（地面、墙面、天棚、门窗等）、屋面防水工程、安装工程改造（强电、弱电、消防、中央空调）、室外工程（停车场、大门、围墙）、电梯维修改造等，维修改造规模约6675平方米，总投资控制在1036.46万元以内，资金来源为省财政资金。项目工期2019年11月至2020年9月。建设项目招标核准施工、设计、监理全部招标。</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2020年6月5日，因新冠疫情影响，商务厅申请延长项目工期（川商函[2020]132号）。2020年6月17日四川省机关事务管理局回复（川机管函[2020]543号），原则同意将有效期延长3个月，项目工期延至2021年3月。</w:t>
      </w:r>
    </w:p>
    <w:p>
      <w:pPr>
        <w:adjustRightInd w:val="0"/>
        <w:snapToGrid w:val="0"/>
        <w:spacing w:line="600" w:lineRule="exact"/>
        <w:ind w:firstLine="720"/>
        <w:rPr>
          <w:rFonts w:ascii="仿宋_GB2312" w:hAnsi="Calibri" w:eastAsia="仿宋_GB2312" w:cs="仿宋"/>
          <w:color w:val="000000"/>
          <w:kern w:val="0"/>
          <w:sz w:val="32"/>
          <w:szCs w:val="32"/>
          <w:lang w:val="zh-CN"/>
        </w:rPr>
      </w:pPr>
      <w:r>
        <w:rPr>
          <w:rFonts w:hint="eastAsia" w:ascii="楷体_GB2312" w:hAnsi="宋体" w:eastAsia="楷体_GB2312"/>
          <w:b/>
          <w:sz w:val="32"/>
          <w:szCs w:val="32"/>
          <w:lang w:val="zh-CN"/>
        </w:rPr>
        <w:t>（一）项目资金申报及批复情况。</w:t>
      </w:r>
      <w:r>
        <w:rPr>
          <w:rFonts w:hint="eastAsia" w:ascii="仿宋_GB2312" w:hAnsi="Calibri" w:eastAsia="仿宋_GB2312" w:cs="仿宋"/>
          <w:color w:val="000000"/>
          <w:kern w:val="0"/>
          <w:sz w:val="32"/>
          <w:szCs w:val="32"/>
        </w:rPr>
        <w:t>2020年，收到财政厅《关于下达2019年度省直机关办公用房维修项目预算（基建资金安排）的通知》（川财资[2019]14号）项目资金，为去年外贸大楼维修改造的4个项目列入了“省直机关办公用房维修改造三年规划（2018-2020年）”，经比选确定专业机构编制项目资料送财政评审通过，财政厅安排给我厅合计 519.02万元。资金申请和拨付均符合相关规定。</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（二）项目绩效目标。</w:t>
      </w:r>
      <w:r>
        <w:rPr>
          <w:rFonts w:hint="eastAsia" w:ascii="仿宋_GB2312" w:hAnsi="Calibri" w:eastAsia="仿宋_GB2312" w:cs="仿宋"/>
          <w:color w:val="000000"/>
          <w:kern w:val="0"/>
          <w:sz w:val="32"/>
          <w:szCs w:val="32"/>
          <w:lang w:val="zh-CN"/>
        </w:rPr>
        <w:t>商务厅外贸大楼维修改造项目主要内容为：</w:t>
      </w:r>
      <w:r>
        <w:rPr>
          <w:rFonts w:hint="eastAsia" w:ascii="仿宋_GB2312" w:hAnsi="Calibri" w:eastAsia="仿宋_GB2312" w:cs="仿宋"/>
          <w:color w:val="000000"/>
          <w:kern w:val="0"/>
          <w:sz w:val="32"/>
          <w:szCs w:val="32"/>
        </w:rPr>
        <w:t>装饰装修改造（地面、墙面、天棚、门窗等）、屋面防水工程、安装工程改造（强电、弱电、消防、中央空调）、室外工程（停车场、大门、围墙）、电梯维修改造等，维修改造规模约6675平方米，</w:t>
      </w:r>
      <w:r>
        <w:rPr>
          <w:rFonts w:hint="eastAsia" w:ascii="仿宋_GB2312" w:hAnsi="Calibri" w:eastAsia="仿宋_GB2312" w:cs="仿宋"/>
          <w:color w:val="000000"/>
          <w:kern w:val="0"/>
          <w:sz w:val="32"/>
          <w:szCs w:val="32"/>
          <w:lang w:val="zh-CN"/>
        </w:rPr>
        <w:t>计划实现目标为维修改造项目施工阶段主体完成，施工进度达到整个项目的</w:t>
      </w:r>
      <w:r>
        <w:rPr>
          <w:rFonts w:hint="eastAsia" w:ascii="仿宋_GB2312" w:hAnsi="Calibri" w:eastAsia="仿宋_GB2312" w:cs="仿宋"/>
          <w:color w:val="000000"/>
          <w:kern w:val="0"/>
          <w:sz w:val="32"/>
          <w:szCs w:val="32"/>
        </w:rPr>
        <w:t>90%</w:t>
      </w:r>
      <w:r>
        <w:rPr>
          <w:rFonts w:hint="eastAsia" w:ascii="仿宋_GB2312" w:hAnsi="Calibri" w:eastAsia="仿宋_GB2312" w:cs="仿宋"/>
          <w:color w:val="000000"/>
          <w:kern w:val="0"/>
          <w:sz w:val="32"/>
          <w:szCs w:val="32"/>
          <w:lang w:val="zh-CN"/>
        </w:rPr>
        <w:t>。经自评，达到了预期目标和进度目标。</w:t>
      </w:r>
    </w:p>
    <w:p>
      <w:pPr>
        <w:adjustRightInd w:val="0"/>
        <w:snapToGrid w:val="0"/>
        <w:spacing w:line="600" w:lineRule="exact"/>
        <w:ind w:firstLine="720"/>
        <w:rPr>
          <w:rFonts w:ascii="仿宋_GB2312" w:hAnsi="Calibri" w:eastAsia="仿宋_GB2312" w:cs="仿宋"/>
          <w:color w:val="000000"/>
          <w:kern w:val="0"/>
          <w:sz w:val="32"/>
          <w:szCs w:val="32"/>
          <w:lang w:val="zh-CN"/>
        </w:rPr>
      </w:pPr>
      <w:r>
        <w:rPr>
          <w:rFonts w:hint="eastAsia" w:ascii="楷体_GB2312" w:hAnsi="宋体" w:eastAsia="楷体_GB2312"/>
          <w:b/>
          <w:sz w:val="32"/>
          <w:szCs w:val="32"/>
          <w:lang w:val="zh-CN"/>
        </w:rPr>
        <w:t>（三）项目资金申报相符性。</w:t>
      </w:r>
      <w:r>
        <w:rPr>
          <w:rFonts w:hint="eastAsia" w:ascii="仿宋_GB2312" w:hAnsi="Calibri" w:eastAsia="仿宋_GB2312" w:cs="仿宋"/>
          <w:color w:val="000000"/>
          <w:kern w:val="0"/>
          <w:sz w:val="32"/>
          <w:szCs w:val="32"/>
          <w:lang w:val="zh-CN"/>
        </w:rPr>
        <w:t>项目实施的内容与项目申报的内容完全一致，具有可行性，项目资金使用全部用于此项目。</w:t>
      </w:r>
    </w:p>
    <w:p>
      <w:pPr>
        <w:adjustRightInd w:val="0"/>
        <w:snapToGrid w:val="0"/>
        <w:spacing w:line="600" w:lineRule="exact"/>
        <w:ind w:firstLine="720"/>
        <w:outlineLvl w:val="1"/>
        <w:rPr>
          <w:rFonts w:ascii="黑体" w:hAnsi="宋体" w:eastAsia="黑体"/>
          <w:sz w:val="32"/>
          <w:szCs w:val="32"/>
        </w:rPr>
      </w:pPr>
      <w:bookmarkStart w:id="69" w:name="_Toc1681778888_WPSOffice_Level2"/>
      <w:bookmarkStart w:id="70" w:name="_Toc16577"/>
      <w:r>
        <w:rPr>
          <w:rFonts w:hint="eastAsia" w:ascii="黑体" w:hAnsi="宋体" w:eastAsia="黑体"/>
          <w:sz w:val="32"/>
          <w:szCs w:val="32"/>
        </w:rPr>
        <w:t>二、项目实施及管理情况</w:t>
      </w:r>
      <w:bookmarkEnd w:id="69"/>
      <w:bookmarkEnd w:id="70"/>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ab/>
      </w:r>
      <w:r>
        <w:rPr>
          <w:rFonts w:hint="eastAsia" w:ascii="楷体_GB2312" w:hAnsi="宋体" w:eastAsia="楷体_GB2312"/>
          <w:b/>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1．资金计划及到位。</w:t>
      </w:r>
      <w:r>
        <w:rPr>
          <w:rFonts w:hint="eastAsia" w:ascii="仿宋_GB2312" w:hAnsi="Calibri" w:eastAsia="仿宋_GB2312" w:cs="仿宋"/>
          <w:color w:val="000000"/>
          <w:kern w:val="0"/>
          <w:sz w:val="32"/>
          <w:szCs w:val="32"/>
          <w:lang w:val="zh-CN"/>
        </w:rPr>
        <w:t>项目资金的申请到截止评价时已全部到位，到位及时，到位率</w:t>
      </w:r>
      <w:r>
        <w:rPr>
          <w:rFonts w:hint="eastAsia" w:ascii="仿宋_GB2312" w:hAnsi="Calibri" w:eastAsia="仿宋_GB2312" w:cs="仿宋"/>
          <w:color w:val="000000"/>
          <w:kern w:val="0"/>
          <w:sz w:val="32"/>
          <w:szCs w:val="32"/>
        </w:rPr>
        <w:t>100%。项目资金全部为财政资金，无单位自筹资金及其它渠道资金。</w:t>
      </w:r>
    </w:p>
    <w:p>
      <w:pPr>
        <w:adjustRightInd w:val="0"/>
        <w:snapToGrid w:val="0"/>
        <w:spacing w:line="600" w:lineRule="exact"/>
        <w:ind w:firstLine="720"/>
        <w:rPr>
          <w:rFonts w:ascii="仿宋_GB2312" w:hAnsi="Calibri" w:eastAsia="仿宋_GB2312" w:cs="仿宋"/>
          <w:color w:val="000000"/>
          <w:kern w:val="0"/>
          <w:sz w:val="32"/>
          <w:szCs w:val="32"/>
          <w:lang w:val="zh-CN"/>
        </w:rPr>
      </w:pPr>
      <w:r>
        <w:rPr>
          <w:rFonts w:hint="eastAsia" w:ascii="楷体_GB2312" w:hAnsi="宋体" w:eastAsia="楷体_GB2312"/>
          <w:sz w:val="32"/>
          <w:szCs w:val="32"/>
          <w:lang w:val="zh-CN"/>
        </w:rPr>
        <w:t>2．资金使用。</w:t>
      </w:r>
      <w:r>
        <w:rPr>
          <w:rFonts w:hint="eastAsia" w:ascii="仿宋_GB2312" w:hAnsi="Calibri" w:eastAsia="仿宋_GB2312" w:cs="仿宋"/>
          <w:color w:val="000000"/>
          <w:kern w:val="0"/>
          <w:sz w:val="32"/>
          <w:szCs w:val="32"/>
          <w:lang w:val="zh-CN"/>
        </w:rPr>
        <w:t>说明截止评价时点项目资金的实际支出情况，资金开支范围、标准及支付进度等，支付依据是否合规合法，资金支付是否与预算相符，并对相关问题进行说明。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Calibri" w:eastAsia="仿宋_GB2312" w:cs="仿宋"/>
          <w:color w:val="000000"/>
          <w:kern w:val="0"/>
          <w:sz w:val="32"/>
          <w:szCs w:val="32"/>
        </w:rPr>
        <w:t>该项目基本完成了批复的建设内容，项目建设资料完整，项目报建符合相关规定，建设组织实施工作比较规范，特别是基建财务管理与会计核算规范，成立相关机构和支付机制。本项目使用资金符合相关的规定，资金支出审批手续完善，反映了建设资金的支出情况。</w:t>
      </w:r>
      <w:r>
        <w:rPr>
          <w:rFonts w:hint="eastAsia" w:ascii="仿宋_GB2312" w:hAnsi="Calibri" w:eastAsia="仿宋_GB2312" w:cs="仿宋"/>
          <w:color w:val="000000"/>
          <w:kern w:val="0"/>
          <w:sz w:val="32"/>
          <w:szCs w:val="32"/>
          <w:lang w:val="zh-CN"/>
        </w:rPr>
        <w:t>按照项目资金管理办法，严格执行了财务管理制度，财务处理及时，会计核算规范。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adjustRightInd w:val="0"/>
        <w:snapToGrid w:val="0"/>
        <w:spacing w:line="600" w:lineRule="exact"/>
        <w:ind w:firstLine="720"/>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为确保项目的正常实施，成立了商务厅外贸大楼维修改造项目领导小组（以下简称维改小组），下设领导小组办公室，整个项目严格按照立项批复的要求和招投标、政府采购等相关规定实施。</w:t>
      </w:r>
    </w:p>
    <w:p>
      <w:pPr>
        <w:ind w:firstLine="645"/>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从项目立项批复开始，到2020年8月下旬项目施工招标结束，历时9个多月时间。主要包括公开比选确定招标代理机构，依法合规开展项目设计、造价、项管、监理、施工招标。12月25日，维改小组审议通过招标代理机构比选方案并挂商务厅公众网，通过公开比选，于2020年元月6日向中选招标代理机构——中航技国际经贸发展有限公司发放中选通知书，并报省机关事务管理局备案和挂政府采购网公告。元月中旬，经厅法律顾问审核把关后签订了招标代理协议，要求其严格按照立项批复的要求和法律法规对外贸大楼维修改造项目设计、造价、项管、监理和施工组织招标代理服务。2020年1月19日，我厅派出业主代表和监督人员参加了由中航技国际经贸发展有限公司组织的设计、造价、项管公开招标，通过竞争性磋商方式确定了项目设计公司—成都交大环境设计工程有限公司，造价公司—四川经信卫建设工程项目管理咨询有限公司，项管公司—成都市众恒建设工程监理有限责任公司。2020年春节期间，新冠病毒疫情突发。维改小组克服疫情影响，坚持一手抓防疫，一手抓项目推进。2月3日、13日，先后两次组织项目设计、造价、项管单位赴外贸大楼现场查勘，召开现场四方露天碰头会，针对违章建筑繁多的实际情况，对照维修改造内容现场解答各方疑问，统一思想，对设计工作作了进一步的安排部署。3月10日，经征求法律顾问和项目管理公司意见并修改完善后，与设计公司签订了《建设工程设计合同》，与造价公司签订了《工程造价咨询合同》，与项管公司签订了《项目管理合同》。3月18日，我厅正式向设计公司下达了《设计任务书》，4月17日在反复征求拟入驻单位意见，维改小组召开会议，审议通过了《外贸大楼维修改造工程装饰设计方案》，修改完善后经小组成员单位确认后报厅领导审定5月15日，维改小组召开会议审议通过了施工图设计文件》6月上旬，造价审核机构—四川同方建设咨询有限公司审核出具了《概算评审报告》、《招标控制价评审报告》、《招标控制价清单》初稿。6月中旬，维改小组专题会议审议通过了《施工招标文件》和《监理磋商文件》。7月24日，我厅派出业主代表和监督人员参加了由中航技国际经贸发展有限公司组织的监理公开招标，通过竞争性磋商方式确定了项目监理公司—成都海发建设工程监理有限公司。8月18日在四川省政府政务服务和公共资源交易服务中心，经专家评审委员会评审，四川启创建设工程有限公司中标外贸大楼维修改造项目施工，工期150天。9月7日，监理方正式下达了开工令。</w:t>
      </w:r>
    </w:p>
    <w:p>
      <w:pPr>
        <w:adjustRightInd w:val="0"/>
        <w:snapToGrid w:val="0"/>
        <w:spacing w:line="600" w:lineRule="exact"/>
        <w:ind w:firstLine="640" w:firstLineChars="200"/>
        <w:outlineLvl w:val="1"/>
        <w:rPr>
          <w:rFonts w:ascii="仿宋_GB2312" w:hAnsi="宋体" w:eastAsia="仿宋_GB2312"/>
          <w:sz w:val="32"/>
          <w:szCs w:val="32"/>
          <w:lang w:val="zh-CN"/>
        </w:rPr>
      </w:pPr>
      <w:bookmarkStart w:id="71" w:name="_Toc175511143_WPSOffice_Level2"/>
      <w:bookmarkStart w:id="72" w:name="_Toc32581"/>
      <w:r>
        <w:rPr>
          <w:rFonts w:hint="eastAsia" w:ascii="黑体" w:hAnsi="宋体" w:eastAsia="黑体"/>
          <w:sz w:val="32"/>
          <w:szCs w:val="32"/>
        </w:rPr>
        <w:t>三、项目绩效情况</w:t>
      </w:r>
      <w:bookmarkEnd w:id="71"/>
      <w:bookmarkEnd w:id="72"/>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按照招投标标文件和施工合同以及相关规定，截止</w:t>
      </w:r>
      <w:r>
        <w:rPr>
          <w:rFonts w:hint="eastAsia" w:ascii="仿宋_GB2312" w:hAnsi="Calibri" w:eastAsia="仿宋_GB2312" w:cs="仿宋"/>
          <w:color w:val="000000"/>
          <w:kern w:val="0"/>
          <w:sz w:val="32"/>
          <w:szCs w:val="32"/>
        </w:rPr>
        <w:t>2020年底，完成了预期目标和工程进度，即施工完成了整个项目的90%</w:t>
      </w:r>
      <w:r>
        <w:rPr>
          <w:rFonts w:hint="eastAsia" w:ascii="仿宋_GB2312" w:hAnsi="Calibri" w:eastAsia="仿宋_GB2312" w:cs="仿宋"/>
          <w:color w:val="000000"/>
          <w:kern w:val="0"/>
          <w:sz w:val="32"/>
          <w:szCs w:val="32"/>
          <w:lang w:val="zh-CN"/>
        </w:rPr>
        <w:t>。</w:t>
      </w:r>
    </w:p>
    <w:p>
      <w:pPr>
        <w:adjustRightInd w:val="0"/>
        <w:snapToGrid w:val="0"/>
        <w:spacing w:line="600" w:lineRule="exact"/>
        <w:ind w:firstLine="720"/>
        <w:rPr>
          <w:rFonts w:ascii="仿宋_GB2312" w:hAnsi="Calibri" w:eastAsia="仿宋_GB2312" w:cs="仿宋"/>
          <w:color w:val="000000"/>
          <w:kern w:val="0"/>
          <w:sz w:val="32"/>
          <w:szCs w:val="32"/>
          <w:lang w:val="zh-CN"/>
        </w:rPr>
      </w:pPr>
      <w:r>
        <w:rPr>
          <w:rFonts w:hint="eastAsia" w:ascii="楷体_GB2312" w:hAnsi="宋体" w:eastAsia="楷体_GB2312"/>
          <w:b/>
          <w:sz w:val="32"/>
          <w:szCs w:val="32"/>
          <w:lang w:val="zh-CN"/>
        </w:rPr>
        <w:t>（二）项目效益情况。</w:t>
      </w:r>
      <w:r>
        <w:rPr>
          <w:rFonts w:hint="eastAsia" w:ascii="仿宋_GB2312" w:hAnsi="Calibri" w:eastAsia="仿宋_GB2312" w:cs="仿宋"/>
          <w:color w:val="000000"/>
          <w:kern w:val="0"/>
          <w:sz w:val="32"/>
          <w:szCs w:val="32"/>
          <w:lang w:val="zh-CN"/>
        </w:rPr>
        <w:t>确保了项目在合同规定的时间内如期完成，为改善办公条件、满足基本办公要求打下了坚实的基础。</w:t>
      </w:r>
    </w:p>
    <w:p>
      <w:pPr>
        <w:adjustRightInd w:val="0"/>
        <w:snapToGrid w:val="0"/>
        <w:spacing w:line="600" w:lineRule="exact"/>
        <w:ind w:firstLine="720"/>
        <w:outlineLvl w:val="1"/>
        <w:rPr>
          <w:rFonts w:ascii="黑体" w:hAnsi="宋体" w:eastAsia="黑体"/>
          <w:sz w:val="32"/>
          <w:szCs w:val="32"/>
        </w:rPr>
      </w:pPr>
      <w:bookmarkStart w:id="73" w:name="_Toc88812721_WPSOffice_Level2"/>
      <w:bookmarkStart w:id="74" w:name="_Toc27820"/>
      <w:r>
        <w:rPr>
          <w:rFonts w:hint="eastAsia" w:ascii="黑体" w:hAnsi="宋体" w:eastAsia="黑体"/>
          <w:sz w:val="32"/>
          <w:szCs w:val="32"/>
        </w:rPr>
        <w:t>四、问题及建议</w:t>
      </w:r>
      <w:bookmarkEnd w:id="73"/>
      <w:bookmarkEnd w:id="74"/>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r>
        <w:rPr>
          <w:rFonts w:hint="eastAsia" w:ascii="仿宋_GB2312" w:hAnsi="Calibri" w:eastAsia="仿宋_GB2312" w:cs="仿宋"/>
          <w:color w:val="000000"/>
          <w:kern w:val="0"/>
          <w:sz w:val="32"/>
          <w:szCs w:val="32"/>
          <w:lang w:val="zh-CN"/>
        </w:rPr>
        <w:t>无</w:t>
      </w:r>
    </w:p>
    <w:p>
      <w:pPr>
        <w:adjustRightInd w:val="0"/>
        <w:snapToGrid w:val="0"/>
        <w:spacing w:line="600" w:lineRule="exact"/>
        <w:ind w:firstLine="643" w:firstLineChars="200"/>
        <w:rPr>
          <w:rFonts w:ascii="仿宋_GB2312" w:hAnsi="仿宋_GB2312" w:eastAsia="仿宋_GB2312" w:cs="仿宋_GB2312"/>
          <w:b/>
          <w:bCs/>
          <w:color w:val="FF0000"/>
          <w:sz w:val="32"/>
          <w:szCs w:val="32"/>
        </w:rPr>
      </w:pPr>
      <w:r>
        <w:rPr>
          <w:rFonts w:hint="eastAsia" w:ascii="楷体_GB2312" w:hAnsi="宋体" w:eastAsia="楷体_GB2312"/>
          <w:b/>
          <w:sz w:val="32"/>
          <w:szCs w:val="32"/>
          <w:lang w:val="zh-CN"/>
        </w:rPr>
        <w:t>（二）相关建议。</w:t>
      </w:r>
      <w:r>
        <w:rPr>
          <w:rFonts w:hint="eastAsia" w:ascii="仿宋_GB2312" w:hAnsi="Calibri" w:eastAsia="仿宋_GB2312" w:cs="仿宋"/>
          <w:color w:val="000000"/>
          <w:kern w:val="0"/>
          <w:sz w:val="32"/>
          <w:szCs w:val="32"/>
          <w:lang w:val="zh-CN"/>
        </w:rPr>
        <w:t>无</w:t>
      </w:r>
    </w:p>
    <w:p>
      <w:pPr>
        <w:spacing w:line="600" w:lineRule="exact"/>
        <w:jc w:val="center"/>
        <w:rPr>
          <w:rFonts w:ascii="宋体"/>
          <w:b/>
          <w:color w:val="000000"/>
          <w:sz w:val="44"/>
          <w:szCs w:val="44"/>
        </w:rPr>
      </w:pPr>
    </w:p>
    <w:p>
      <w:pPr>
        <w:spacing w:line="600" w:lineRule="exact"/>
        <w:jc w:val="center"/>
        <w:rPr>
          <w:rFonts w:ascii="宋体"/>
          <w:b/>
          <w:color w:val="000000"/>
          <w:sz w:val="44"/>
          <w:szCs w:val="44"/>
        </w:rPr>
      </w:pPr>
    </w:p>
    <w:bookmarkEnd w:id="64"/>
    <w:p>
      <w:pPr>
        <w:spacing w:line="600" w:lineRule="exact"/>
        <w:jc w:val="center"/>
        <w:outlineLvl w:val="0"/>
        <w:rPr>
          <w:rStyle w:val="17"/>
          <w:rFonts w:ascii="黑体" w:hAnsi="黑体" w:eastAsia="黑体" w:cstheme="minorBidi"/>
          <w:b w:val="0"/>
        </w:rPr>
      </w:pPr>
      <w:bookmarkStart w:id="75" w:name="_Toc15396618"/>
      <w:bookmarkStart w:id="76" w:name="_Toc5011"/>
      <w:r>
        <w:rPr>
          <w:rStyle w:val="17"/>
          <w:rFonts w:hint="eastAsia" w:ascii="黑体" w:hAnsi="黑体" w:eastAsia="黑体" w:cstheme="minorBidi"/>
          <w:b w:val="0"/>
        </w:rPr>
        <w:t>第五部分 附表</w:t>
      </w:r>
      <w:bookmarkEnd w:id="63"/>
      <w:bookmarkEnd w:id="75"/>
      <w:bookmarkEnd w:id="76"/>
      <w:bookmarkStart w:id="77" w:name="_Toc15396619"/>
    </w:p>
    <w:p>
      <w:pPr>
        <w:pStyle w:val="4"/>
        <w:rPr>
          <w:rFonts w:ascii="仿宋_GB2312" w:hAnsi="Calibri" w:eastAsia="仿宋_GB2312" w:cs="仿宋"/>
          <w:b w:val="0"/>
          <w:bCs w:val="0"/>
          <w:color w:val="000000"/>
          <w:kern w:val="0"/>
        </w:rPr>
      </w:pPr>
      <w:bookmarkStart w:id="78" w:name="_Toc21437"/>
      <w:r>
        <w:rPr>
          <w:rFonts w:hint="eastAsia" w:ascii="仿宋_GB2312" w:hAnsi="Calibri" w:eastAsia="仿宋_GB2312" w:cs="仿宋"/>
          <w:b w:val="0"/>
          <w:bCs w:val="0"/>
          <w:color w:val="000000"/>
          <w:kern w:val="0"/>
        </w:rPr>
        <w:t>一、收入支出决算总表</w:t>
      </w:r>
      <w:bookmarkEnd w:id="77"/>
      <w:bookmarkEnd w:id="78"/>
    </w:p>
    <w:p>
      <w:pPr>
        <w:pStyle w:val="4"/>
        <w:rPr>
          <w:rFonts w:ascii="仿宋_GB2312" w:hAnsi="Calibri" w:eastAsia="仿宋_GB2312" w:cs="仿宋"/>
          <w:b w:val="0"/>
          <w:bCs w:val="0"/>
          <w:color w:val="000000"/>
          <w:kern w:val="0"/>
        </w:rPr>
      </w:pPr>
      <w:bookmarkStart w:id="79" w:name="_Toc15396620"/>
      <w:bookmarkStart w:id="80" w:name="_Toc11791"/>
      <w:r>
        <w:rPr>
          <w:rFonts w:hint="eastAsia" w:ascii="仿宋_GB2312" w:hAnsi="Calibri" w:eastAsia="仿宋_GB2312" w:cs="仿宋"/>
          <w:b w:val="0"/>
          <w:bCs w:val="0"/>
          <w:color w:val="000000"/>
          <w:kern w:val="0"/>
        </w:rPr>
        <w:t>二、收入决算表</w:t>
      </w:r>
      <w:bookmarkEnd w:id="79"/>
      <w:bookmarkEnd w:id="80"/>
    </w:p>
    <w:p>
      <w:pPr>
        <w:pStyle w:val="4"/>
        <w:rPr>
          <w:rFonts w:ascii="仿宋_GB2312" w:hAnsi="Calibri" w:eastAsia="仿宋_GB2312" w:cs="仿宋"/>
          <w:b w:val="0"/>
          <w:bCs w:val="0"/>
          <w:color w:val="000000"/>
          <w:kern w:val="0"/>
        </w:rPr>
      </w:pPr>
      <w:bookmarkStart w:id="81" w:name="_Toc15396621"/>
      <w:bookmarkStart w:id="82" w:name="_Toc25173"/>
      <w:r>
        <w:rPr>
          <w:rFonts w:hint="eastAsia" w:ascii="仿宋_GB2312" w:hAnsi="Calibri" w:eastAsia="仿宋_GB2312" w:cs="仿宋"/>
          <w:b w:val="0"/>
          <w:bCs w:val="0"/>
          <w:color w:val="000000"/>
          <w:kern w:val="0"/>
        </w:rPr>
        <w:t>三、支出决算表</w:t>
      </w:r>
      <w:bookmarkEnd w:id="81"/>
      <w:bookmarkEnd w:id="82"/>
    </w:p>
    <w:p>
      <w:pPr>
        <w:pStyle w:val="4"/>
        <w:rPr>
          <w:rFonts w:ascii="仿宋_GB2312" w:hAnsi="Calibri" w:eastAsia="仿宋_GB2312" w:cs="仿宋"/>
          <w:b w:val="0"/>
          <w:bCs w:val="0"/>
          <w:color w:val="000000"/>
          <w:kern w:val="0"/>
        </w:rPr>
      </w:pPr>
      <w:bookmarkStart w:id="83" w:name="_Toc15396622"/>
      <w:bookmarkStart w:id="84" w:name="_Toc191"/>
      <w:r>
        <w:rPr>
          <w:rFonts w:hint="eastAsia" w:ascii="仿宋_GB2312" w:hAnsi="Calibri" w:eastAsia="仿宋_GB2312" w:cs="仿宋"/>
          <w:b w:val="0"/>
          <w:bCs w:val="0"/>
          <w:color w:val="000000"/>
          <w:kern w:val="0"/>
        </w:rPr>
        <w:t>四、财政拨款收入支出决算总表</w:t>
      </w:r>
      <w:bookmarkEnd w:id="83"/>
      <w:bookmarkEnd w:id="84"/>
    </w:p>
    <w:p>
      <w:pPr>
        <w:pStyle w:val="4"/>
        <w:rPr>
          <w:rFonts w:ascii="仿宋_GB2312" w:hAnsi="Calibri" w:eastAsia="仿宋_GB2312" w:cs="仿宋"/>
          <w:b w:val="0"/>
          <w:bCs w:val="0"/>
          <w:color w:val="000000"/>
          <w:kern w:val="0"/>
        </w:rPr>
      </w:pPr>
      <w:bookmarkStart w:id="85" w:name="_Toc15396623"/>
      <w:bookmarkStart w:id="86" w:name="_Toc9474"/>
      <w:r>
        <w:rPr>
          <w:rFonts w:hint="eastAsia" w:ascii="仿宋_GB2312" w:hAnsi="Calibri" w:eastAsia="仿宋_GB2312" w:cs="仿宋"/>
          <w:b w:val="0"/>
          <w:bCs w:val="0"/>
          <w:color w:val="000000"/>
          <w:kern w:val="0"/>
        </w:rPr>
        <w:t>五、财政拨款支出决算明细表</w:t>
      </w:r>
      <w:bookmarkEnd w:id="85"/>
      <w:bookmarkEnd w:id="86"/>
      <w:bookmarkStart w:id="87" w:name="_Toc15396624"/>
    </w:p>
    <w:p>
      <w:pPr>
        <w:pStyle w:val="4"/>
        <w:rPr>
          <w:rFonts w:ascii="仿宋_GB2312" w:hAnsi="Calibri" w:eastAsia="仿宋_GB2312" w:cs="仿宋"/>
          <w:b w:val="0"/>
          <w:bCs w:val="0"/>
          <w:color w:val="000000"/>
          <w:kern w:val="0"/>
        </w:rPr>
      </w:pPr>
      <w:bookmarkStart w:id="88" w:name="_Toc26152"/>
      <w:r>
        <w:rPr>
          <w:rFonts w:hint="eastAsia" w:ascii="仿宋_GB2312" w:hAnsi="Calibri" w:eastAsia="仿宋_GB2312" w:cs="仿宋"/>
          <w:b w:val="0"/>
          <w:bCs w:val="0"/>
          <w:color w:val="000000"/>
          <w:kern w:val="0"/>
        </w:rPr>
        <w:t>六、一般公共预算财政拨款支出决算表</w:t>
      </w:r>
      <w:bookmarkEnd w:id="87"/>
      <w:bookmarkEnd w:id="88"/>
    </w:p>
    <w:p>
      <w:pPr>
        <w:pStyle w:val="4"/>
        <w:rPr>
          <w:rFonts w:ascii="仿宋_GB2312" w:hAnsi="Calibri" w:eastAsia="仿宋_GB2312" w:cs="仿宋"/>
          <w:b w:val="0"/>
          <w:bCs w:val="0"/>
          <w:color w:val="000000"/>
          <w:kern w:val="0"/>
        </w:rPr>
      </w:pPr>
      <w:bookmarkStart w:id="89" w:name="_Toc15396625"/>
      <w:bookmarkStart w:id="90" w:name="_Toc21401"/>
      <w:r>
        <w:rPr>
          <w:rFonts w:hint="eastAsia" w:ascii="仿宋_GB2312" w:hAnsi="Calibri" w:eastAsia="仿宋_GB2312" w:cs="仿宋"/>
          <w:b w:val="0"/>
          <w:bCs w:val="0"/>
          <w:color w:val="000000"/>
          <w:kern w:val="0"/>
        </w:rPr>
        <w:t>七、一般公共预算财政拨款支出决算明细表</w:t>
      </w:r>
      <w:bookmarkEnd w:id="89"/>
      <w:bookmarkEnd w:id="90"/>
    </w:p>
    <w:p>
      <w:pPr>
        <w:pStyle w:val="4"/>
        <w:rPr>
          <w:rFonts w:ascii="仿宋_GB2312" w:hAnsi="Calibri" w:eastAsia="仿宋_GB2312" w:cs="仿宋"/>
          <w:b w:val="0"/>
          <w:bCs w:val="0"/>
          <w:color w:val="000000"/>
          <w:kern w:val="0"/>
        </w:rPr>
      </w:pPr>
      <w:bookmarkStart w:id="91" w:name="_Toc15396626"/>
      <w:bookmarkStart w:id="92" w:name="_Toc2188"/>
      <w:r>
        <w:rPr>
          <w:rFonts w:hint="eastAsia" w:ascii="仿宋_GB2312" w:hAnsi="Calibri" w:eastAsia="仿宋_GB2312" w:cs="仿宋"/>
          <w:b w:val="0"/>
          <w:bCs w:val="0"/>
          <w:color w:val="000000"/>
          <w:kern w:val="0"/>
        </w:rPr>
        <w:t>八、一般公共预算财政拨款基本支出决算表</w:t>
      </w:r>
      <w:bookmarkEnd w:id="91"/>
      <w:bookmarkEnd w:id="92"/>
    </w:p>
    <w:p>
      <w:pPr>
        <w:pStyle w:val="4"/>
        <w:rPr>
          <w:rFonts w:ascii="仿宋_GB2312" w:hAnsi="Calibri" w:eastAsia="仿宋_GB2312" w:cs="仿宋"/>
          <w:b w:val="0"/>
          <w:bCs w:val="0"/>
          <w:color w:val="000000"/>
          <w:kern w:val="0"/>
        </w:rPr>
      </w:pPr>
      <w:bookmarkStart w:id="93" w:name="_Toc15396627"/>
      <w:bookmarkStart w:id="94" w:name="_Toc528"/>
      <w:r>
        <w:rPr>
          <w:rFonts w:hint="eastAsia" w:ascii="仿宋_GB2312" w:hAnsi="Calibri" w:eastAsia="仿宋_GB2312" w:cs="仿宋"/>
          <w:b w:val="0"/>
          <w:bCs w:val="0"/>
          <w:color w:val="000000"/>
          <w:kern w:val="0"/>
        </w:rPr>
        <w:t>九、一般公共预算财政拨款项目支出决算表</w:t>
      </w:r>
      <w:bookmarkEnd w:id="93"/>
      <w:bookmarkEnd w:id="94"/>
    </w:p>
    <w:p>
      <w:pPr>
        <w:pStyle w:val="4"/>
        <w:rPr>
          <w:rFonts w:ascii="仿宋_GB2312" w:hAnsi="Calibri" w:eastAsia="仿宋_GB2312" w:cs="仿宋"/>
          <w:b w:val="0"/>
          <w:bCs w:val="0"/>
          <w:color w:val="000000"/>
          <w:kern w:val="0"/>
        </w:rPr>
      </w:pPr>
      <w:bookmarkStart w:id="95" w:name="_Toc15396628"/>
      <w:bookmarkStart w:id="96" w:name="_Toc23515"/>
      <w:r>
        <w:rPr>
          <w:rFonts w:hint="eastAsia" w:ascii="仿宋_GB2312" w:hAnsi="Calibri" w:eastAsia="仿宋_GB2312" w:cs="仿宋"/>
          <w:b w:val="0"/>
          <w:bCs w:val="0"/>
          <w:color w:val="000000"/>
          <w:kern w:val="0"/>
        </w:rPr>
        <w:t>十、一般公共预算财政拨款“三公”经费支出决算表</w:t>
      </w:r>
      <w:bookmarkEnd w:id="95"/>
      <w:bookmarkEnd w:id="96"/>
    </w:p>
    <w:p>
      <w:pPr>
        <w:pStyle w:val="4"/>
        <w:rPr>
          <w:rFonts w:ascii="仿宋_GB2312" w:hAnsi="Calibri" w:eastAsia="仿宋_GB2312" w:cs="仿宋"/>
          <w:b w:val="0"/>
          <w:bCs w:val="0"/>
          <w:color w:val="000000"/>
          <w:kern w:val="0"/>
        </w:rPr>
      </w:pPr>
      <w:bookmarkStart w:id="97" w:name="_Toc15396629"/>
      <w:bookmarkStart w:id="98" w:name="_Toc3360"/>
      <w:r>
        <w:rPr>
          <w:rFonts w:hint="eastAsia" w:ascii="仿宋_GB2312" w:hAnsi="Calibri" w:eastAsia="仿宋_GB2312" w:cs="仿宋"/>
          <w:b w:val="0"/>
          <w:bCs w:val="0"/>
          <w:color w:val="000000"/>
          <w:kern w:val="0"/>
        </w:rPr>
        <w:t>十一、政府性基金预算财政拨款收入支出决算表</w:t>
      </w:r>
      <w:bookmarkEnd w:id="97"/>
      <w:bookmarkEnd w:id="98"/>
    </w:p>
    <w:p>
      <w:pPr>
        <w:pStyle w:val="4"/>
        <w:rPr>
          <w:rFonts w:ascii="仿宋_GB2312" w:hAnsi="Calibri" w:eastAsia="仿宋_GB2312" w:cs="仿宋"/>
          <w:b w:val="0"/>
          <w:bCs w:val="0"/>
          <w:color w:val="000000"/>
          <w:kern w:val="0"/>
        </w:rPr>
      </w:pPr>
      <w:bookmarkStart w:id="99" w:name="_Toc15396630"/>
      <w:bookmarkStart w:id="100" w:name="_Toc18512"/>
      <w:r>
        <w:rPr>
          <w:rFonts w:hint="eastAsia" w:ascii="仿宋_GB2312" w:hAnsi="Calibri" w:eastAsia="仿宋_GB2312" w:cs="仿宋"/>
          <w:b w:val="0"/>
          <w:bCs w:val="0"/>
          <w:color w:val="000000"/>
          <w:kern w:val="0"/>
        </w:rPr>
        <w:t>十二、政府性基金预算财政拨款“三公”经费支出决算表</w:t>
      </w:r>
      <w:bookmarkEnd w:id="99"/>
      <w:bookmarkEnd w:id="100"/>
    </w:p>
    <w:p>
      <w:pPr>
        <w:pStyle w:val="4"/>
        <w:rPr>
          <w:rFonts w:ascii="仿宋_GB2312" w:hAnsi="Calibri" w:eastAsia="仿宋_GB2312" w:cs="仿宋"/>
          <w:b w:val="0"/>
          <w:bCs w:val="0"/>
          <w:color w:val="000000"/>
          <w:kern w:val="0"/>
        </w:rPr>
      </w:pPr>
      <w:bookmarkStart w:id="101" w:name="_Toc15396631"/>
      <w:bookmarkStart w:id="102" w:name="_Toc18678"/>
      <w:r>
        <w:rPr>
          <w:rFonts w:hint="eastAsia" w:ascii="仿宋_GB2312" w:hAnsi="Calibri" w:eastAsia="仿宋_GB2312" w:cs="仿宋"/>
          <w:b w:val="0"/>
          <w:bCs w:val="0"/>
          <w:color w:val="000000"/>
          <w:kern w:val="0"/>
        </w:rPr>
        <w:t>十三、国有资本经营预算财政拨款收入支出决算表</w:t>
      </w:r>
      <w:bookmarkEnd w:id="101"/>
      <w:bookmarkEnd w:id="102"/>
    </w:p>
    <w:p>
      <w:pPr>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十四、国有资本经营预算财政拨款支出决算表</w:t>
      </w:r>
    </w:p>
    <w:p/>
    <w:p>
      <w:pPr>
        <w:pStyle w:val="2"/>
        <w:spacing w:before="93"/>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60FE15-89AE-4A17-9D91-DA8C7BB5D65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FFABAA2-FCD1-4F32-8B13-29924237C7F6}"/>
  </w:font>
  <w:font w:name="Cambria">
    <w:panose1 w:val="02040503050406030204"/>
    <w:charset w:val="00"/>
    <w:family w:val="roman"/>
    <w:pitch w:val="default"/>
    <w:sig w:usb0="E00002FF" w:usb1="400004FF" w:usb2="00000000" w:usb3="00000000" w:csb0="2000019F" w:csb1="00000000"/>
    <w:embedRegular r:id="rId3" w:fontKey="{4AB8E3C5-3808-4018-8C3C-7B74FCE928B0}"/>
  </w:font>
  <w:font w:name="仿宋_GB2312">
    <w:panose1 w:val="02010609030101010101"/>
    <w:charset w:val="86"/>
    <w:family w:val="modern"/>
    <w:pitch w:val="default"/>
    <w:sig w:usb0="00000001" w:usb1="080E0000" w:usb2="00000000" w:usb3="00000000" w:csb0="00040000" w:csb1="00000000"/>
    <w:embedRegular r:id="rId4" w:fontKey="{0FF9C2A9-9B3A-414B-BA3C-05EAA37BD7AA}"/>
  </w:font>
  <w:font w:name="仿宋">
    <w:panose1 w:val="02010609060101010101"/>
    <w:charset w:val="86"/>
    <w:family w:val="modern"/>
    <w:pitch w:val="default"/>
    <w:sig w:usb0="800002BF" w:usb1="38CF7CFA" w:usb2="00000016" w:usb3="00000000" w:csb0="00040001" w:csb1="00000000"/>
    <w:embedRegular r:id="rId5" w:fontKey="{CC5A61A7-8134-42D8-8D2E-CF672CDF5C7C}"/>
  </w:font>
  <w:font w:name="方正小标宋简体">
    <w:panose1 w:val="02000000000000000000"/>
    <w:charset w:val="86"/>
    <w:family w:val="script"/>
    <w:pitch w:val="default"/>
    <w:sig w:usb0="00000001" w:usb1="080E0000" w:usb2="00000000" w:usb3="00000000" w:csb0="00040000" w:csb1="00000000"/>
    <w:embedRegular r:id="rId6" w:fontKey="{FF612FB5-11C8-475E-9F1C-AA235EEF57CB}"/>
  </w:font>
  <w:font w:name="楷体_GB2312">
    <w:panose1 w:val="02010609030101010101"/>
    <w:charset w:val="86"/>
    <w:family w:val="auto"/>
    <w:pitch w:val="default"/>
    <w:sig w:usb0="00000001" w:usb1="080E0000" w:usb2="00000000" w:usb3="00000000" w:csb0="00040000" w:csb1="00000000"/>
    <w:embedRegular r:id="rId7" w:fontKey="{8C4CCE1E-B9A3-4F03-91B8-FF49A3CABA0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9573976"/>
    </w:sdtPr>
    <w:sdtContent>
      <w:p>
        <w:pPr>
          <w:pStyle w:val="7"/>
          <w:jc w:val="center"/>
        </w:pPr>
        <w:r>
          <w:fldChar w:fldCharType="begin"/>
        </w:r>
        <w:r>
          <w:instrText xml:space="preserve"> PAGE   \* MERGEFORMAT </w:instrText>
        </w:r>
        <w:r>
          <w:fldChar w:fldCharType="separate"/>
        </w:r>
        <w:r>
          <w:rPr>
            <w:lang w:val="zh-CN"/>
          </w:rPr>
          <w:t>15</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AwOWViM2EyMmVmNzYwZDNjNjNhMTBiOWNkZjMyODEifQ=="/>
  </w:docVars>
  <w:rsids>
    <w:rsidRoot w:val="000D4C61"/>
    <w:rsid w:val="00007B2D"/>
    <w:rsid w:val="00036EA0"/>
    <w:rsid w:val="00044525"/>
    <w:rsid w:val="000D4C61"/>
    <w:rsid w:val="00142646"/>
    <w:rsid w:val="001A19F1"/>
    <w:rsid w:val="001A2F3E"/>
    <w:rsid w:val="001E6A0C"/>
    <w:rsid w:val="001F0F27"/>
    <w:rsid w:val="00276DB2"/>
    <w:rsid w:val="002B2EE9"/>
    <w:rsid w:val="002E76AA"/>
    <w:rsid w:val="00393ADB"/>
    <w:rsid w:val="003E4422"/>
    <w:rsid w:val="003F721F"/>
    <w:rsid w:val="00451703"/>
    <w:rsid w:val="00610149"/>
    <w:rsid w:val="00654B03"/>
    <w:rsid w:val="006832E4"/>
    <w:rsid w:val="00683495"/>
    <w:rsid w:val="006E238A"/>
    <w:rsid w:val="0076561C"/>
    <w:rsid w:val="008262F2"/>
    <w:rsid w:val="008374D8"/>
    <w:rsid w:val="0085449F"/>
    <w:rsid w:val="008614F9"/>
    <w:rsid w:val="00861CA1"/>
    <w:rsid w:val="00880EEB"/>
    <w:rsid w:val="00916338"/>
    <w:rsid w:val="00965171"/>
    <w:rsid w:val="00972B92"/>
    <w:rsid w:val="00A107D3"/>
    <w:rsid w:val="00A11E78"/>
    <w:rsid w:val="00A67AC2"/>
    <w:rsid w:val="00AE3BED"/>
    <w:rsid w:val="00B91D53"/>
    <w:rsid w:val="00BA2ADF"/>
    <w:rsid w:val="00BA6F0E"/>
    <w:rsid w:val="00D16347"/>
    <w:rsid w:val="00D6787E"/>
    <w:rsid w:val="00DF18F9"/>
    <w:rsid w:val="00E45F6D"/>
    <w:rsid w:val="00E53A9D"/>
    <w:rsid w:val="00F162D1"/>
    <w:rsid w:val="063A5507"/>
    <w:rsid w:val="06601D6F"/>
    <w:rsid w:val="081D7A68"/>
    <w:rsid w:val="10B71B0D"/>
    <w:rsid w:val="13700F7C"/>
    <w:rsid w:val="1495312F"/>
    <w:rsid w:val="189749AE"/>
    <w:rsid w:val="1FF50894"/>
    <w:rsid w:val="228F2960"/>
    <w:rsid w:val="24AE565F"/>
    <w:rsid w:val="26470E80"/>
    <w:rsid w:val="2DCC7D8D"/>
    <w:rsid w:val="2F5C7FAF"/>
    <w:rsid w:val="361752A3"/>
    <w:rsid w:val="36636CBE"/>
    <w:rsid w:val="3AB56D21"/>
    <w:rsid w:val="3DCB7CE0"/>
    <w:rsid w:val="3F841D8D"/>
    <w:rsid w:val="3FDB7423"/>
    <w:rsid w:val="426653FB"/>
    <w:rsid w:val="449344B7"/>
    <w:rsid w:val="45C1723F"/>
    <w:rsid w:val="47D73045"/>
    <w:rsid w:val="48910C82"/>
    <w:rsid w:val="48D4072C"/>
    <w:rsid w:val="4C2E771A"/>
    <w:rsid w:val="4DB0227B"/>
    <w:rsid w:val="50460D93"/>
    <w:rsid w:val="58FD62BE"/>
    <w:rsid w:val="5A6B3299"/>
    <w:rsid w:val="5B941300"/>
    <w:rsid w:val="5C1E52FA"/>
    <w:rsid w:val="5DFB5155"/>
    <w:rsid w:val="5FF24C72"/>
    <w:rsid w:val="61B81904"/>
    <w:rsid w:val="62DE5022"/>
    <w:rsid w:val="645D6759"/>
    <w:rsid w:val="6A1C3851"/>
    <w:rsid w:val="6A954799"/>
    <w:rsid w:val="6D4566B1"/>
    <w:rsid w:val="6DBE2BBD"/>
    <w:rsid w:val="6F343E12"/>
    <w:rsid w:val="6FBBE5CC"/>
    <w:rsid w:val="6FFDC0B5"/>
    <w:rsid w:val="70F799C2"/>
    <w:rsid w:val="712B2E0E"/>
    <w:rsid w:val="7DEFF02A"/>
    <w:rsid w:val="7ECED76C"/>
    <w:rsid w:val="7EEFCD04"/>
    <w:rsid w:val="7F6FC4A2"/>
    <w:rsid w:val="7F912972"/>
    <w:rsid w:val="AEF94CF2"/>
    <w:rsid w:val="B7AFBFF0"/>
    <w:rsid w:val="BFFFE9AC"/>
    <w:rsid w:val="E0F58D62"/>
    <w:rsid w:val="F4FF3D60"/>
    <w:rsid w:val="F7770E4B"/>
    <w:rsid w:val="FDFD944C"/>
    <w:rsid w:val="FEF94D0B"/>
    <w:rsid w:val="FF352D1E"/>
    <w:rsid w:val="FFFFD1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99"/>
    <w:pPr>
      <w:spacing w:beforeLines="30"/>
    </w:pPr>
    <w:rPr>
      <w:rFonts w:ascii="仿宋_GB2312" w:hAnsi="Times New Roman" w:eastAsia="仿宋_GB2312" w:cs="Times New Roman"/>
      <w:kern w:val="0"/>
      <w:sz w:val="30"/>
      <w:szCs w:val="24"/>
    </w:rPr>
  </w:style>
  <w:style w:type="paragraph" w:styleId="5">
    <w:name w:val="annotation text"/>
    <w:basedOn w:val="1"/>
    <w:semiHidden/>
    <w:unhideWhenUsed/>
    <w:qFormat/>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nhideWhenUsed/>
    <w:qFormat/>
    <w:uiPriority w:val="39"/>
  </w:style>
  <w:style w:type="paragraph" w:styleId="10">
    <w:name w:val="toc 2"/>
    <w:basedOn w:val="1"/>
    <w:next w:val="1"/>
    <w:semiHidden/>
    <w:unhideWhenUsed/>
    <w:qFormat/>
    <w:uiPriority w:val="39"/>
    <w:pPr>
      <w:ind w:left="420" w:leftChars="200"/>
    </w:pPr>
  </w:style>
  <w:style w:type="character" w:styleId="13">
    <w:name w:val="Strong"/>
    <w:basedOn w:val="12"/>
    <w:qFormat/>
    <w:uiPriority w:val="99"/>
    <w:rPr>
      <w:b/>
    </w:rPr>
  </w:style>
  <w:style w:type="character" w:customStyle="1" w:styleId="14">
    <w:name w:val="页眉 Char"/>
    <w:basedOn w:val="12"/>
    <w:link w:val="8"/>
    <w:semiHidden/>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批注框文本 Char"/>
    <w:basedOn w:val="12"/>
    <w:link w:val="6"/>
    <w:semiHidden/>
    <w:qFormat/>
    <w:uiPriority w:val="99"/>
    <w:rPr>
      <w:sz w:val="18"/>
      <w:szCs w:val="18"/>
    </w:rPr>
  </w:style>
  <w:style w:type="character" w:customStyle="1" w:styleId="17">
    <w:name w:val="标题 1 Char"/>
    <w:basedOn w:val="12"/>
    <w:link w:val="3"/>
    <w:qFormat/>
    <w:uiPriority w:val="9"/>
    <w:rPr>
      <w:rFonts w:ascii="Times New Roman" w:hAnsi="Times New Roman" w:eastAsia="宋体" w:cs="Times New Roman"/>
      <w:b/>
      <w:bCs/>
      <w:kern w:val="44"/>
      <w:sz w:val="44"/>
      <w:szCs w:val="44"/>
    </w:rPr>
  </w:style>
  <w:style w:type="character" w:customStyle="1" w:styleId="18">
    <w:name w:val="标题 2 Char"/>
    <w:basedOn w:val="12"/>
    <w:link w:val="4"/>
    <w:qFormat/>
    <w:uiPriority w:val="9"/>
    <w:rPr>
      <w:rFonts w:asciiTheme="majorHAnsi" w:hAnsiTheme="majorHAnsi" w:eastAsiaTheme="majorEastAsia" w:cstheme="majorBidi"/>
      <w:b/>
      <w:bCs/>
      <w:sz w:val="32"/>
      <w:szCs w:val="32"/>
    </w:rPr>
  </w:style>
  <w:style w:type="character" w:customStyle="1" w:styleId="19">
    <w:name w:val="正文文本 Char"/>
    <w:basedOn w:val="12"/>
    <w:link w:val="2"/>
    <w:qFormat/>
    <w:uiPriority w:val="99"/>
    <w:rPr>
      <w:rFonts w:ascii="仿宋_GB2312" w:hAnsi="Times New Roman" w:eastAsia="仿宋_GB2312" w:cs="Times New Roman"/>
      <w:kern w:val="0"/>
      <w:sz w:val="30"/>
      <w:szCs w:val="24"/>
    </w:rPr>
  </w:style>
  <w:style w:type="paragraph" w:customStyle="1" w:styleId="20">
    <w:name w:val="Char Char Char Char Char Char Char Char Char"/>
    <w:basedOn w:val="1"/>
    <w:next w:val="1"/>
    <w:qFormat/>
    <w:uiPriority w:val="0"/>
    <w:pPr>
      <w:spacing w:line="240" w:lineRule="atLeast"/>
      <w:ind w:firstLine="602" w:firstLineChars="200"/>
      <w:jc w:val="left"/>
    </w:pPr>
    <w:rPr>
      <w:rFonts w:ascii="仿宋_GB2312" w:hAnsi="Calibri" w:eastAsia="仿宋_GB2312" w:cs="Times New Roman"/>
      <w:b/>
      <w:kern w:val="0"/>
      <w:sz w:val="30"/>
      <w:szCs w:val="30"/>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WPSOffice手动目录 1"/>
    <w:qFormat/>
    <w:uiPriority w:val="0"/>
    <w:rPr>
      <w:rFonts w:asciiTheme="minorHAnsi" w:hAnsiTheme="minorHAnsi" w:eastAsiaTheme="minorEastAsia" w:cstheme="minorBidi"/>
      <w:lang w:val="en-US" w:eastAsia="zh-CN" w:bidi="ar-SA"/>
    </w:rPr>
  </w:style>
  <w:style w:type="paragraph" w:customStyle="1" w:styleId="24">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20(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26032;&#24314;%20&#32451;&#20064;Microsoft%20Office%20Excel%20&#24037;&#20316;&#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20(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esktop\&#26032;&#24314;%20&#32451;&#20064;Microsoft%20Office%20Excel%20&#24037;&#20316;&#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enovo\Desktop\&#26032;&#24314;%20&#32451;&#20064;Microsoft%20Office%20Excel%20&#24037;&#20316;&#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enovo\Desktop\&#26032;&#24314;%20&#32451;&#20064;Microsoft%20Office%20Excel%20&#24037;&#20316;&#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enovo\Desktop\&#26032;&#24314;%20&#32451;&#20064;Microsoft%20Office%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图1：收、支决算总计变化情况</a:t>
            </a:r>
            <a:r>
              <a:rPr lang="zh-CN" altLang="en-US"/>
              <a:t>图</a:t>
            </a:r>
            <a:endParaRPr lang="zh-CN" altLang="en-US"/>
          </a:p>
        </c:rich>
      </c:tx>
      <c:layout/>
      <c:overlay val="0"/>
      <c:spPr>
        <a:noFill/>
        <a:ln>
          <a:noFill/>
        </a:ln>
        <a:effectLst/>
      </c:spPr>
    </c:title>
    <c:autoTitleDeleted val="0"/>
    <c:plotArea>
      <c:layout>
        <c:manualLayout>
          <c:layoutTarget val="inner"/>
          <c:xMode val="edge"/>
          <c:yMode val="edge"/>
          <c:x val="0.0916111111111109"/>
          <c:y val="0.180555555555556"/>
          <c:w val="0.882"/>
          <c:h val="0.710972222222222"/>
        </c:manualLayout>
      </c:layout>
      <c:barChart>
        <c:barDir val="col"/>
        <c:grouping val="clustered"/>
        <c:varyColors val="0"/>
        <c:ser>
          <c:idx val="0"/>
          <c:order val="0"/>
          <c:tx>
            <c:strRef>
              <c:f>'[新建 XLS 工作表 (2).xls]Sheet1'!$B$146</c:f>
              <c:strCache>
                <c:ptCount val="1"/>
                <c:pt idx="0">
                  <c:v>金额（万元）</c:v>
                </c:pt>
              </c:strCache>
            </c:strRef>
          </c:tx>
          <c:spPr>
            <a:solidFill>
              <a:schemeClr val="accent2"/>
            </a:solidFill>
            <a:ln>
              <a:noFill/>
            </a:ln>
            <a:effectLst/>
          </c:spPr>
          <c:invertIfNegative val="0"/>
          <c:dPt>
            <c:idx val="0"/>
            <c:invertIfNegative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 (2).xls]Sheet1'!$A$147:$A$148</c:f>
              <c:strCache>
                <c:ptCount val="2"/>
                <c:pt idx="0">
                  <c:v>2019年</c:v>
                </c:pt>
                <c:pt idx="1">
                  <c:v>2020年</c:v>
                </c:pt>
              </c:strCache>
            </c:strRef>
          </c:cat>
          <c:val>
            <c:numRef>
              <c:f>'[新建 XLS 工作表 (2).xls]Sheet1'!$B$147:$B$148</c:f>
              <c:numCache>
                <c:formatCode>General</c:formatCode>
                <c:ptCount val="2"/>
                <c:pt idx="0">
                  <c:v>387.63</c:v>
                </c:pt>
                <c:pt idx="1">
                  <c:v>919.11</c:v>
                </c:pt>
              </c:numCache>
            </c:numRef>
          </c:val>
        </c:ser>
        <c:dLbls>
          <c:showLegendKey val="0"/>
          <c:showVal val="1"/>
          <c:showCatName val="0"/>
          <c:showSerName val="0"/>
          <c:showPercent val="0"/>
          <c:showBubbleSize val="0"/>
        </c:dLbls>
        <c:gapWidth val="219"/>
        <c:overlap val="-27"/>
        <c:axId val="168997248"/>
        <c:axId val="168998784"/>
      </c:barChart>
      <c:catAx>
        <c:axId val="16899724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8998784"/>
        <c:crosses val="autoZero"/>
        <c:auto val="1"/>
        <c:lblAlgn val="ctr"/>
        <c:lblOffset val="100"/>
        <c:noMultiLvlLbl val="0"/>
      </c:catAx>
      <c:valAx>
        <c:axId val="168998784"/>
        <c:scaling>
          <c:orientation val="minMax"/>
        </c:scaling>
        <c:delete val="1"/>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997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图</a:t>
            </a:r>
            <a:r>
              <a:rPr lang="en-US" altLang="zh-CN"/>
              <a:t>2</a:t>
            </a:r>
            <a:r>
              <a:rPr lang="zh-CN" altLang="en-US"/>
              <a:t>：收入决算结构图</a:t>
            </a:r>
            <a:endParaRPr lang="zh-CN" altLang="en-US"/>
          </a:p>
        </c:rich>
      </c:tx>
      <c:layout/>
      <c:overlay val="0"/>
    </c:title>
    <c:autoTitleDeleted val="0"/>
    <c:plotArea>
      <c:layout/>
      <c:pieChart>
        <c:varyColors val="1"/>
        <c:ser>
          <c:idx val="0"/>
          <c:order val="0"/>
          <c:tx>
            <c:strRef>
              <c:f>Sheet1!$A$203</c:f>
              <c:strCache>
                <c:ptCount val="1"/>
                <c:pt idx="0">
                  <c:v>一般公共预算财政收入</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Sheet1!$B$202</c:f>
              <c:strCache>
                <c:ptCount val="1"/>
                <c:pt idx="0">
                  <c:v>一般公共预算财政收入</c:v>
                </c:pt>
              </c:strCache>
            </c:strRef>
          </c:cat>
          <c:val>
            <c:numRef>
              <c:f>Sheet1!$B$203</c:f>
              <c:numCache>
                <c:formatCode>General</c:formatCode>
                <c:ptCount val="1"/>
                <c:pt idx="0">
                  <c:v>919.11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3</a:t>
            </a: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：支出决算结构图</a:t>
            </a:r>
            <a:endParaRPr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340694444444444"/>
          <c:y val="0.0277777777777778"/>
        </c:manualLayout>
      </c:layout>
      <c:overlay val="0"/>
      <c:spPr>
        <a:noFill/>
        <a:ln>
          <a:noFill/>
        </a:ln>
        <a:effectLst/>
      </c:spPr>
    </c:title>
    <c:autoTitleDeleted val="0"/>
    <c:plotArea>
      <c:layout/>
      <c:pieChart>
        <c:varyColors val="1"/>
        <c:ser>
          <c:idx val="0"/>
          <c:order val="0"/>
          <c:tx>
            <c:strRef>
              <c:f>'[新建 XLS 工作表 (2).xls]Sheet1'!$B$214:$B$215</c:f>
              <c:strCache>
                <c:ptCount val="1"/>
                <c:pt idx="0">
                  <c:v>金额（万元）</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 XLS 工作表 (2).xls]Sheet1'!$A$216:$A$217</c:f>
              <c:strCache>
                <c:ptCount val="2"/>
                <c:pt idx="0">
                  <c:v>基本支出</c:v>
                </c:pt>
                <c:pt idx="1">
                  <c:v>项目支出</c:v>
                </c:pt>
              </c:strCache>
            </c:strRef>
          </c:cat>
          <c:val>
            <c:numRef>
              <c:f>'[新建 XLS 工作表 (2).xls]Sheet1'!$B$216:$B$217</c:f>
              <c:numCache>
                <c:formatCode>General</c:formatCode>
                <c:ptCount val="2"/>
                <c:pt idx="0">
                  <c:v>392.09</c:v>
                </c:pt>
                <c:pt idx="1">
                  <c:v>527.02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图</a:t>
            </a:r>
            <a:r>
              <a:rPr lang="en-US" altLang="zh-CN"/>
              <a:t>4</a:t>
            </a:r>
            <a:r>
              <a:rPr lang="zh-CN" altLang="en-US"/>
              <a:t>：财政拨款收、支决算总计图</a:t>
            </a:r>
            <a:endParaRPr lang="zh-CN" altLang="en-US"/>
          </a:p>
        </c:rich>
      </c:tx>
      <c:layout/>
      <c:overlay val="0"/>
    </c:title>
    <c:autoTitleDeleted val="0"/>
    <c:plotArea>
      <c:layout/>
      <c:barChart>
        <c:barDir val="col"/>
        <c:grouping val="stacked"/>
        <c:varyColors val="0"/>
        <c:ser>
          <c:idx val="0"/>
          <c:order val="0"/>
          <c:tx>
            <c:strRef>
              <c:f>Sheet1!$B$71</c:f>
              <c:strCache>
                <c:ptCount val="1"/>
                <c:pt idx="0">
                  <c:v>财政拨款收支决算总计（金额：万元）</c:v>
                </c:pt>
              </c:strCache>
            </c:strRef>
          </c:tx>
          <c:spPr>
            <a:solidFill>
              <a:schemeClr val="accent6"/>
            </a:solidFill>
          </c:spPr>
          <c:invertIfNegative val="0"/>
          <c:dPt>
            <c:idx val="0"/>
            <c:invertIfNegative val="0"/>
            <c:bubble3D val="0"/>
            <c:spPr>
              <a:solidFill>
                <a:schemeClr val="accent5"/>
              </a:solidFill>
            </c:spPr>
          </c:dPt>
          <c:dLbls>
            <c:dLbl>
              <c:idx val="0"/>
              <c:layout>
                <c:manualLayout>
                  <c:x val="0.00833333333333335"/>
                  <c:y val="-0.18518518518518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32870370370370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Sheet1!$A$72:$A$73</c:f>
              <c:strCache>
                <c:ptCount val="2"/>
                <c:pt idx="0">
                  <c:v>2019年</c:v>
                </c:pt>
                <c:pt idx="1">
                  <c:v>2020年</c:v>
                </c:pt>
              </c:strCache>
            </c:strRef>
          </c:cat>
          <c:val>
            <c:numRef>
              <c:f>Sheet1!$B$72:$B$73</c:f>
              <c:numCache>
                <c:formatCode>General</c:formatCode>
                <c:ptCount val="2"/>
                <c:pt idx="0">
                  <c:v>387.55</c:v>
                </c:pt>
                <c:pt idx="1">
                  <c:v>919.11</c:v>
                </c:pt>
              </c:numCache>
            </c:numRef>
          </c:val>
        </c:ser>
        <c:dLbls>
          <c:showLegendKey val="0"/>
          <c:showVal val="0"/>
          <c:showCatName val="0"/>
          <c:showSerName val="0"/>
          <c:showPercent val="0"/>
          <c:showBubbleSize val="0"/>
        </c:dLbls>
        <c:gapWidth val="150"/>
        <c:overlap val="100"/>
        <c:axId val="169074688"/>
        <c:axId val="169076224"/>
      </c:barChart>
      <c:catAx>
        <c:axId val="1690746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9076224"/>
        <c:crosses val="autoZero"/>
        <c:auto val="1"/>
        <c:lblAlgn val="ctr"/>
        <c:lblOffset val="100"/>
        <c:noMultiLvlLbl val="0"/>
      </c:catAx>
      <c:valAx>
        <c:axId val="169076224"/>
        <c:scaling>
          <c:orientation val="minMax"/>
        </c:scaling>
        <c:delete val="1"/>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907468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图</a:t>
            </a:r>
            <a:r>
              <a:rPr lang="en-US" altLang="zh-CN"/>
              <a:t>5</a:t>
            </a:r>
            <a:r>
              <a:rPr lang="zh-CN" altLang="en-US"/>
              <a:t>：一般公共预算财政拨款支出决算变动情况</a:t>
            </a:r>
            <a:endParaRPr lang="zh-CN" altLang="en-US"/>
          </a:p>
        </c:rich>
      </c:tx>
      <c:layout>
        <c:manualLayout>
          <c:xMode val="edge"/>
          <c:yMode val="edge"/>
          <c:x val="0.121966417377744"/>
          <c:y val="0.0274914089347079"/>
        </c:manualLayout>
      </c:layout>
      <c:overlay val="0"/>
    </c:title>
    <c:autoTitleDeleted val="0"/>
    <c:plotArea>
      <c:layout/>
      <c:barChart>
        <c:barDir val="col"/>
        <c:grouping val="stacked"/>
        <c:varyColors val="0"/>
        <c:ser>
          <c:idx val="0"/>
          <c:order val="0"/>
          <c:tx>
            <c:strRef>
              <c:f>Sheet1!$B$123:$B$124</c:f>
              <c:strCache>
                <c:ptCount val="1"/>
                <c:pt idx="0">
                  <c:v>一般公共预算财政拨款支出决算变动情况（金额：万元）</c:v>
                </c:pt>
              </c:strCache>
            </c:strRef>
          </c:tx>
          <c:invertIfNegative val="0"/>
          <c:dPt>
            <c:idx val="1"/>
            <c:invertIfNegative val="0"/>
            <c:bubble3D val="0"/>
            <c:spPr>
              <a:solidFill>
                <a:schemeClr val="accent6"/>
              </a:solidFill>
            </c:spPr>
          </c:dPt>
          <c:dLbls>
            <c:dLbl>
              <c:idx val="0"/>
              <c:layout>
                <c:manualLayout>
                  <c:x val="0"/>
                  <c:y val="-0.14666666666666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28444444444444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Sheet1!$A$125:$A$126</c:f>
              <c:strCache>
                <c:ptCount val="2"/>
                <c:pt idx="0">
                  <c:v>2019年</c:v>
                </c:pt>
                <c:pt idx="1">
                  <c:v>2020年</c:v>
                </c:pt>
              </c:strCache>
            </c:strRef>
          </c:cat>
          <c:val>
            <c:numRef>
              <c:f>Sheet1!$B$125:$B$126</c:f>
              <c:numCache>
                <c:formatCode>General</c:formatCode>
                <c:ptCount val="2"/>
                <c:pt idx="0">
                  <c:v>387.55</c:v>
                </c:pt>
                <c:pt idx="1">
                  <c:v>919.11</c:v>
                </c:pt>
              </c:numCache>
            </c:numRef>
          </c:val>
        </c:ser>
        <c:dLbls>
          <c:showLegendKey val="0"/>
          <c:showVal val="0"/>
          <c:showCatName val="0"/>
          <c:showSerName val="0"/>
          <c:showPercent val="0"/>
          <c:showBubbleSize val="0"/>
        </c:dLbls>
        <c:gapWidth val="150"/>
        <c:overlap val="100"/>
        <c:axId val="169092608"/>
        <c:axId val="169094144"/>
      </c:barChart>
      <c:catAx>
        <c:axId val="1690926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9094144"/>
        <c:crosses val="autoZero"/>
        <c:auto val="1"/>
        <c:lblAlgn val="ctr"/>
        <c:lblOffset val="100"/>
        <c:noMultiLvlLbl val="0"/>
      </c:catAx>
      <c:valAx>
        <c:axId val="169094144"/>
        <c:scaling>
          <c:orientation val="minMax"/>
        </c:scaling>
        <c:delete val="1"/>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909260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图</a:t>
            </a:r>
            <a:r>
              <a:rPr lang="en-US" altLang="zh-CN"/>
              <a:t>6</a:t>
            </a:r>
            <a:r>
              <a:rPr lang="zh-CN" altLang="en-US"/>
              <a:t>：一般公共预算财政拨款支出决算结构</a:t>
            </a:r>
            <a:endParaRPr lang="zh-CN" altLang="en-US"/>
          </a:p>
        </c:rich>
      </c:tx>
      <c:layout/>
      <c:overlay val="0"/>
    </c:title>
    <c:autoTitleDeleted val="0"/>
    <c:plotArea>
      <c:layout/>
      <c:pieChart>
        <c:varyColors val="1"/>
        <c:ser>
          <c:idx val="0"/>
          <c:order val="0"/>
          <c:tx>
            <c:strRef>
              <c:f>Sheet1!$B$170</c:f>
              <c:strCache>
                <c:ptCount val="1"/>
                <c:pt idx="0">
                  <c:v>金额（万元）</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Sheet1!$A$171:$A$174</c:f>
              <c:strCache>
                <c:ptCount val="4"/>
                <c:pt idx="0">
                  <c:v>一般公共服务支出</c:v>
                </c:pt>
                <c:pt idx="1">
                  <c:v>社会保障和就业支出</c:v>
                </c:pt>
                <c:pt idx="2">
                  <c:v>卫生健康支出</c:v>
                </c:pt>
                <c:pt idx="3">
                  <c:v>住房保障支出</c:v>
                </c:pt>
              </c:strCache>
            </c:strRef>
          </c:cat>
          <c:val>
            <c:numRef>
              <c:f>Sheet1!$B$171:$B$174</c:f>
              <c:numCache>
                <c:formatCode>General</c:formatCode>
                <c:ptCount val="4"/>
                <c:pt idx="0">
                  <c:v>795.07</c:v>
                </c:pt>
                <c:pt idx="1">
                  <c:v>69.91</c:v>
                </c:pt>
                <c:pt idx="2">
                  <c:v>20.04</c:v>
                </c:pt>
                <c:pt idx="3">
                  <c:v>34.09</c:v>
                </c:pt>
              </c:numCache>
            </c:numRef>
          </c:val>
        </c:ser>
        <c:ser>
          <c:idx val="1"/>
          <c:order val="1"/>
          <c:tx>
            <c:strRef>
              <c:f>Sheet1!$C$170</c:f>
              <c:strCache>
                <c:ptCount val="1"/>
                <c:pt idx="0">
                  <c:v>占比%</c:v>
                </c:pt>
              </c:strCache>
            </c:strRef>
          </c:tx>
          <c:explosion val="0"/>
          <c:dPt>
            <c:idx val="0"/>
            <c:bubble3D val="0"/>
          </c:dPt>
          <c:dPt>
            <c:idx val="1"/>
            <c:bubble3D val="0"/>
          </c:dPt>
          <c:dPt>
            <c:idx val="2"/>
            <c:bubble3D val="0"/>
          </c:dPt>
          <c:dPt>
            <c:idx val="3"/>
            <c:bubble3D val="0"/>
          </c:dPt>
          <c:dLbls>
            <c:delete val="1"/>
          </c:dLbls>
          <c:cat>
            <c:strRef>
              <c:f>Sheet1!$A$171:$A$174</c:f>
              <c:strCache>
                <c:ptCount val="4"/>
                <c:pt idx="0">
                  <c:v>一般公共服务支出</c:v>
                </c:pt>
                <c:pt idx="1">
                  <c:v>社会保障和就业支出</c:v>
                </c:pt>
                <c:pt idx="2">
                  <c:v>卫生健康支出</c:v>
                </c:pt>
                <c:pt idx="3">
                  <c:v>住房保障支出</c:v>
                </c:pt>
              </c:strCache>
            </c:strRef>
          </c:cat>
          <c:val>
            <c:numRef>
              <c:f>Sheet1!$C$171:$C$174</c:f>
              <c:numCache>
                <c:formatCode>General</c:formatCode>
                <c:ptCount val="4"/>
                <c:pt idx="0">
                  <c:v>86.5</c:v>
                </c:pt>
                <c:pt idx="1">
                  <c:v>7.61</c:v>
                </c:pt>
                <c:pt idx="2">
                  <c:v>2.18</c:v>
                </c:pt>
                <c:pt idx="3">
                  <c:v>3.71</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图</a:t>
            </a:r>
            <a:r>
              <a:rPr lang="en-US" altLang="zh-CN"/>
              <a:t>7</a:t>
            </a:r>
            <a:r>
              <a:rPr lang="zh-CN" altLang="en-US"/>
              <a:t>：</a:t>
            </a:r>
            <a:r>
              <a:rPr lang="en-US" altLang="zh-CN"/>
              <a:t>"</a:t>
            </a:r>
            <a:r>
              <a:rPr lang="zh-CN" altLang="en-US"/>
              <a:t>三公</a:t>
            </a:r>
            <a:r>
              <a:rPr lang="en-US" altLang="zh-CN"/>
              <a:t>"</a:t>
            </a:r>
            <a:r>
              <a:rPr lang="zh-CN" altLang="en-US"/>
              <a:t>经费财政拨款支出结构图</a:t>
            </a:r>
            <a:endParaRPr lang="zh-CN" altLang="en-US"/>
          </a:p>
        </c:rich>
      </c:tx>
      <c:layout/>
      <c:overlay val="0"/>
    </c:title>
    <c:autoTitleDeleted val="0"/>
    <c:plotArea>
      <c:layout/>
      <c:pieChart>
        <c:varyColors val="1"/>
        <c:ser>
          <c:idx val="0"/>
          <c:order val="0"/>
          <c:tx>
            <c:strRef>
              <c:f>Sheet1!$B$238</c:f>
              <c:strCache>
                <c:ptCount val="1"/>
                <c:pt idx="0">
                  <c:v>金额</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Sheet1!$A$239:$A$240</c:f>
              <c:strCache>
                <c:ptCount val="2"/>
                <c:pt idx="0">
                  <c:v>公务用车运行维护费支出</c:v>
                </c:pt>
                <c:pt idx="1">
                  <c:v>公务接待费支出</c:v>
                </c:pt>
              </c:strCache>
            </c:strRef>
          </c:cat>
          <c:val>
            <c:numRef>
              <c:f>Sheet1!$B$239:$B$240</c:f>
              <c:numCache>
                <c:formatCode>General</c:formatCode>
                <c:ptCount val="2"/>
                <c:pt idx="0">
                  <c:v>1.34</c:v>
                </c:pt>
                <c:pt idx="1">
                  <c:v>0.06</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9640</Words>
  <Characters>10390</Characters>
  <Lines>89</Lines>
  <Paragraphs>25</Paragraphs>
  <TotalTime>0</TotalTime>
  <ScaleCrop>false</ScaleCrop>
  <LinksUpToDate>false</LinksUpToDate>
  <CharactersWithSpaces>10524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2022-10-13T07:33:00Z</dcterms:created>
  <dc:creator>lenovo</dc:creator>
  <cp:lastModifiedBy>mz</cp:lastModifiedBy>
  <dcterms:modified xsi:type="dcterms:W3CDTF">2022-11-11T04:06:04Z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2F3F26F134464330B15058C2610ABFD7</vt:lpwstr>
  </property>
</Properties>
</file>