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outlineLvl w:val="0"/>
        <w:rPr>
          <w:rFonts w:ascii="方正小标宋简体" w:hAnsi="宋体" w:eastAsia="方正小标宋简体"/>
          <w:color w:val="000000"/>
          <w:sz w:val="30"/>
          <w:szCs w:val="30"/>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hint="eastAsia" w:ascii="方正小标宋简体" w:hAnsi="宋体" w:eastAsia="方正小标宋简体"/>
          <w:color w:val="000000"/>
          <w:sz w:val="52"/>
          <w:szCs w:val="52"/>
        </w:rPr>
      </w:pPr>
      <w:bookmarkStart w:id="1" w:name="_Toc80874571"/>
      <w:bookmarkStart w:id="2" w:name="_Toc15396475"/>
      <w:bookmarkStart w:id="3" w:name="_Toc15377425"/>
      <w:bookmarkStart w:id="4" w:name="_Toc15396597"/>
      <w:bookmarkStart w:id="5" w:name="_Toc15378441"/>
      <w:bookmarkStart w:id="6" w:name="_Toc15377193"/>
      <w:bookmarkStart w:id="7" w:name="_Toc7810"/>
      <w:r>
        <w:rPr>
          <w:rFonts w:hint="eastAsia" w:ascii="方正小标宋简体" w:hAnsi="宋体" w:eastAsia="方正小标宋简体"/>
          <w:color w:val="000000"/>
          <w:sz w:val="52"/>
          <w:szCs w:val="52"/>
        </w:rPr>
        <w:t>2020年度</w:t>
      </w:r>
      <w:bookmarkEnd w:id="1"/>
      <w:bookmarkEnd w:id="2"/>
      <w:bookmarkEnd w:id="3"/>
      <w:bookmarkEnd w:id="4"/>
      <w:bookmarkEnd w:id="5"/>
      <w:bookmarkEnd w:id="6"/>
      <w:bookmarkEnd w:id="7"/>
    </w:p>
    <w:p>
      <w:pPr>
        <w:adjustRightInd w:val="0"/>
        <w:snapToGrid w:val="0"/>
        <w:spacing w:line="360" w:lineRule="auto"/>
        <w:jc w:val="center"/>
        <w:outlineLvl w:val="0"/>
        <w:rPr>
          <w:rFonts w:ascii="方正小标宋简体" w:hAnsi="宋体" w:eastAsia="方正小标宋简体"/>
          <w:color w:val="000000"/>
          <w:sz w:val="72"/>
          <w:szCs w:val="72"/>
        </w:rPr>
      </w:pPr>
      <w:bookmarkStart w:id="8" w:name="_Toc80874572"/>
      <w:bookmarkStart w:id="9" w:name="_Toc5010"/>
      <w:bookmarkStart w:id="10" w:name="_Toc15377426"/>
      <w:bookmarkStart w:id="11" w:name="_Toc15396598"/>
      <w:bookmarkStart w:id="12" w:name="_Toc15396476"/>
      <w:bookmarkStart w:id="13" w:name="_Toc15378442"/>
      <w:bookmarkStart w:id="14" w:name="_Toc15377194"/>
      <w:r>
        <w:rPr>
          <w:rFonts w:hint="eastAsia" w:ascii="方正小标宋简体" w:hAnsi="宋体" w:eastAsia="方正小标宋简体"/>
          <w:color w:val="000000"/>
          <w:sz w:val="52"/>
          <w:szCs w:val="52"/>
        </w:rPr>
        <w:t>四川省</w:t>
      </w:r>
      <w:bookmarkEnd w:id="0"/>
      <w:bookmarkStart w:id="15" w:name="_Toc15306268"/>
      <w:r>
        <w:rPr>
          <w:rFonts w:hint="eastAsia" w:ascii="方正小标宋简体" w:hAnsi="宋体" w:eastAsia="方正小标宋简体"/>
          <w:color w:val="000000"/>
          <w:sz w:val="52"/>
          <w:szCs w:val="52"/>
        </w:rPr>
        <w:t>国际经济贸易研究所</w:t>
      </w:r>
      <w:bookmarkEnd w:id="8"/>
      <w:bookmarkEnd w:id="9"/>
    </w:p>
    <w:p>
      <w:pPr>
        <w:adjustRightInd w:val="0"/>
        <w:snapToGrid w:val="0"/>
        <w:spacing w:line="360" w:lineRule="auto"/>
        <w:jc w:val="center"/>
        <w:outlineLvl w:val="0"/>
        <w:rPr>
          <w:rFonts w:ascii="方正小标宋简体" w:hAnsi="宋体" w:eastAsia="方正小标宋简体"/>
          <w:color w:val="000000"/>
          <w:sz w:val="52"/>
          <w:szCs w:val="52"/>
        </w:rPr>
      </w:pPr>
      <w:bookmarkStart w:id="16" w:name="_Toc80874573"/>
      <w:bookmarkStart w:id="17" w:name="_Toc8998"/>
      <w:r>
        <w:rPr>
          <w:rFonts w:hint="eastAsia" w:ascii="方正小标宋简体" w:hAnsi="宋体" w:eastAsia="方正小标宋简体"/>
          <w:color w:val="000000"/>
          <w:sz w:val="52"/>
          <w:szCs w:val="52"/>
          <w:lang w:eastAsia="zh-CN"/>
        </w:rPr>
        <w:t>单位</w:t>
      </w:r>
      <w:r>
        <w:rPr>
          <w:rFonts w:hint="eastAsia" w:ascii="方正小标宋简体" w:hAnsi="宋体" w:eastAsia="方正小标宋简体"/>
          <w:color w:val="000000"/>
          <w:sz w:val="52"/>
          <w:szCs w:val="52"/>
        </w:rPr>
        <w:t>决算</w:t>
      </w:r>
      <w:bookmarkEnd w:id="10"/>
      <w:bookmarkEnd w:id="11"/>
      <w:bookmarkEnd w:id="12"/>
      <w:bookmarkEnd w:id="13"/>
      <w:bookmarkEnd w:id="14"/>
      <w:bookmarkEnd w:id="15"/>
      <w:bookmarkEnd w:id="16"/>
      <w:bookmarkEnd w:id="17"/>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bookmarkStart w:id="106" w:name="_GoBack"/>
      <w:bookmarkEnd w:id="106"/>
    </w:p>
    <w:sdt>
      <w:sdtPr>
        <w:rPr>
          <w:rFonts w:ascii="Times New Roman" w:hAnsi="Times New Roman" w:eastAsia="宋体" w:cs="Times New Roman"/>
          <w:b w:val="0"/>
          <w:bCs w:val="0"/>
          <w:color w:val="auto"/>
          <w:kern w:val="2"/>
          <w:sz w:val="21"/>
          <w:szCs w:val="24"/>
          <w:lang w:val="zh-CN"/>
        </w:rPr>
        <w:id w:val="7356578"/>
        <w:docPartObj>
          <w:docPartGallery w:val="Table of Contents"/>
          <w:docPartUnique/>
        </w:docPartObj>
      </w:sdtPr>
      <w:sdtEndPr>
        <w:rPr>
          <w:rFonts w:hint="eastAsia" w:ascii="宋体" w:hAnsi="宋体" w:eastAsia="宋体" w:cs="宋体"/>
          <w:b w:val="0"/>
          <w:bCs w:val="0"/>
          <w:color w:val="auto"/>
          <w:kern w:val="2"/>
          <w:sz w:val="24"/>
          <w:szCs w:val="24"/>
          <w:lang w:val="en-US"/>
        </w:rPr>
      </w:sdtEndPr>
      <w:sdtContent>
        <w:p>
          <w:pPr>
            <w:pStyle w:val="31"/>
            <w:spacing w:before="0" w:line="240" w:lineRule="auto"/>
            <w:jc w:val="center"/>
          </w:pPr>
          <w:r>
            <w:rPr>
              <w:rFonts w:ascii="黑体" w:hAnsi="黑体" w:eastAsia="黑体"/>
              <w:b w:val="0"/>
              <w:color w:val="auto"/>
              <w:sz w:val="48"/>
              <w:szCs w:val="48"/>
              <w:lang w:val="zh-CN"/>
            </w:rPr>
            <w:t>目录</w:t>
          </w:r>
        </w:p>
        <w:p>
          <w:pPr>
            <w:pStyle w:val="10"/>
            <w:rPr>
              <w:rFonts w:hint="eastAsia"/>
            </w:rPr>
          </w:pPr>
        </w:p>
        <w:p>
          <w:pPr>
            <w:pStyle w:val="10"/>
          </w:pPr>
          <w:r>
            <w:rPr>
              <w:rFonts w:hint="eastAsia"/>
            </w:rPr>
            <w:t>公开时间：2021年9月10日</w:t>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\u </w:instrText>
          </w:r>
          <w:r>
            <w:rPr>
              <w:rFonts w:hint="eastAsia" w:ascii="宋体" w:hAnsi="宋体" w:eastAsia="宋体" w:cs="宋体"/>
              <w:sz w:val="24"/>
              <w:szCs w:val="24"/>
            </w:rPr>
            <w:fldChar w:fldCharType="separate"/>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_Toc25042 </w:instrText>
          </w:r>
          <w:r>
            <w:rPr>
              <w:rFonts w:hint="eastAsia" w:ascii="宋体" w:hAnsi="宋体" w:eastAsia="宋体" w:cs="宋体"/>
              <w:sz w:val="24"/>
              <w:szCs w:val="24"/>
            </w:rPr>
            <w:fldChar w:fldCharType="separate"/>
          </w:r>
          <w:r>
            <w:rPr>
              <w:rFonts w:hint="eastAsia" w:ascii="仿宋" w:hAnsi="仿宋" w:eastAsia="仿宋" w:cs="仿宋"/>
              <w:sz w:val="24"/>
              <w:szCs w:val="24"/>
            </w:rPr>
            <w:t>第一部分 单位概况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_Toc25042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_Toc28805 </w:instrText>
          </w:r>
          <w:r>
            <w:rPr>
              <w:rFonts w:hint="eastAsia" w:ascii="宋体" w:hAnsi="宋体" w:eastAsia="宋体" w:cs="宋体"/>
              <w:sz w:val="24"/>
              <w:szCs w:val="24"/>
            </w:rPr>
            <w:fldChar w:fldCharType="separate"/>
          </w:r>
          <w:r>
            <w:rPr>
              <w:rFonts w:hint="eastAsia" w:ascii="宋体" w:hAnsi="宋体" w:eastAsia="宋体" w:cs="宋体"/>
              <w:sz w:val="24"/>
              <w:szCs w:val="24"/>
            </w:rPr>
            <w:t>一、职能简介</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_Toc28805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_Toc27508 </w:instrText>
          </w:r>
          <w:r>
            <w:rPr>
              <w:rFonts w:hint="eastAsia" w:ascii="宋体" w:hAnsi="宋体" w:eastAsia="宋体" w:cs="宋体"/>
              <w:sz w:val="24"/>
              <w:szCs w:val="24"/>
            </w:rPr>
            <w:fldChar w:fldCharType="separate"/>
          </w:r>
          <w:r>
            <w:rPr>
              <w:rFonts w:hint="eastAsia" w:ascii="宋体" w:hAnsi="宋体" w:eastAsia="宋体" w:cs="宋体"/>
              <w:sz w:val="24"/>
              <w:szCs w:val="24"/>
            </w:rPr>
            <w:t>二、2020年重点工作完成情况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_Toc27508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_Toc12288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三</w:t>
          </w:r>
          <w:r>
            <w:rPr>
              <w:rFonts w:hint="eastAsia" w:ascii="宋体" w:hAnsi="宋体" w:eastAsia="宋体" w:cs="宋体"/>
              <w:sz w:val="24"/>
              <w:szCs w:val="24"/>
            </w:rPr>
            <w:t>、</w:t>
          </w:r>
          <w:r>
            <w:rPr>
              <w:rFonts w:hint="eastAsia" w:ascii="宋体" w:hAnsi="宋体" w:eastAsia="宋体" w:cs="宋体"/>
              <w:sz w:val="24"/>
              <w:szCs w:val="24"/>
              <w:lang w:eastAsia="zh-CN"/>
            </w:rPr>
            <w:t>机构设置情况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_Toc12288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_Toc770 </w:instrText>
          </w:r>
          <w:r>
            <w:rPr>
              <w:rFonts w:hint="eastAsia" w:ascii="宋体" w:hAnsi="宋体" w:eastAsia="宋体" w:cs="宋体"/>
              <w:sz w:val="24"/>
              <w:szCs w:val="24"/>
            </w:rPr>
            <w:fldChar w:fldCharType="separate"/>
          </w:r>
          <w:r>
            <w:rPr>
              <w:rFonts w:hint="eastAsia" w:ascii="仿宋" w:hAnsi="仿宋" w:eastAsia="仿宋" w:cs="仿宋"/>
              <w:sz w:val="24"/>
              <w:szCs w:val="24"/>
            </w:rPr>
            <w:t>第二部分 2020年度</w:t>
          </w:r>
          <w:r>
            <w:rPr>
              <w:rFonts w:hint="eastAsia" w:ascii="仿宋" w:hAnsi="仿宋" w:eastAsia="仿宋" w:cs="仿宋"/>
              <w:sz w:val="24"/>
              <w:szCs w:val="24"/>
              <w:lang w:eastAsia="zh-CN"/>
            </w:rPr>
            <w:t>单位</w:t>
          </w:r>
          <w:r>
            <w:rPr>
              <w:rFonts w:hint="eastAsia" w:ascii="仿宋" w:hAnsi="仿宋" w:eastAsia="仿宋" w:cs="仿宋"/>
              <w:sz w:val="24"/>
              <w:szCs w:val="24"/>
            </w:rPr>
            <w:t>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_Toc770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_Toc9719 </w:instrText>
          </w:r>
          <w:r>
            <w:rPr>
              <w:rFonts w:hint="eastAsia" w:ascii="宋体" w:hAnsi="宋体" w:eastAsia="宋体" w:cs="宋体"/>
              <w:sz w:val="24"/>
              <w:szCs w:val="24"/>
            </w:rPr>
            <w:fldChar w:fldCharType="separate"/>
          </w:r>
          <w:r>
            <w:rPr>
              <w:rFonts w:hint="eastAsia" w:ascii="宋体" w:hAnsi="宋体" w:eastAsia="宋体" w:cs="宋体"/>
              <w:sz w:val="24"/>
              <w:szCs w:val="24"/>
            </w:rPr>
            <w:t>一、收入支出决算总体情况说明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_Toc9719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_Toc12117 </w:instrText>
          </w:r>
          <w:r>
            <w:rPr>
              <w:rFonts w:hint="eastAsia" w:ascii="宋体" w:hAnsi="宋体" w:eastAsia="宋体" w:cs="宋体"/>
              <w:sz w:val="24"/>
              <w:szCs w:val="24"/>
            </w:rPr>
            <w:fldChar w:fldCharType="separate"/>
          </w:r>
          <w:r>
            <w:rPr>
              <w:rFonts w:hint="eastAsia" w:ascii="宋体" w:hAnsi="宋体" w:eastAsia="宋体" w:cs="宋体"/>
              <w:sz w:val="24"/>
              <w:szCs w:val="24"/>
            </w:rPr>
            <w:t>二、收入决算情况说明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_Toc12117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_Toc10741 </w:instrText>
          </w:r>
          <w:r>
            <w:rPr>
              <w:rFonts w:hint="eastAsia" w:ascii="宋体" w:hAnsi="宋体" w:eastAsia="宋体" w:cs="宋体"/>
              <w:sz w:val="24"/>
              <w:szCs w:val="24"/>
            </w:rPr>
            <w:fldChar w:fldCharType="separate"/>
          </w:r>
          <w:r>
            <w:rPr>
              <w:rFonts w:hint="eastAsia" w:ascii="宋体" w:hAnsi="宋体" w:eastAsia="宋体" w:cs="宋体"/>
              <w:sz w:val="24"/>
              <w:szCs w:val="24"/>
            </w:rPr>
            <w:t>三、支出决算情况说明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_Toc10741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_Toc28056 </w:instrText>
          </w:r>
          <w:r>
            <w:rPr>
              <w:rFonts w:hint="eastAsia" w:ascii="宋体" w:hAnsi="宋体" w:eastAsia="宋体" w:cs="宋体"/>
              <w:sz w:val="24"/>
              <w:szCs w:val="24"/>
            </w:rPr>
            <w:fldChar w:fldCharType="separate"/>
          </w:r>
          <w:r>
            <w:rPr>
              <w:rFonts w:hint="eastAsia" w:ascii="宋体" w:hAnsi="宋体" w:eastAsia="宋体" w:cs="宋体"/>
              <w:sz w:val="24"/>
              <w:szCs w:val="24"/>
            </w:rPr>
            <w:t>四、财政拨款收入支出决算总体情况说明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_Toc28056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_Toc24859 </w:instrText>
          </w:r>
          <w:r>
            <w:rPr>
              <w:rFonts w:hint="eastAsia" w:ascii="宋体" w:hAnsi="宋体" w:eastAsia="宋体" w:cs="宋体"/>
              <w:sz w:val="24"/>
              <w:szCs w:val="24"/>
            </w:rPr>
            <w:fldChar w:fldCharType="separate"/>
          </w:r>
          <w:r>
            <w:rPr>
              <w:rFonts w:hint="eastAsia" w:ascii="宋体" w:hAnsi="宋体" w:eastAsia="宋体" w:cs="宋体"/>
              <w:sz w:val="24"/>
              <w:szCs w:val="24"/>
            </w:rPr>
            <w:t>五、一般公共预算财政拨款支出决算情况说明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_Toc24859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_Toc126 </w:instrText>
          </w:r>
          <w:r>
            <w:rPr>
              <w:rFonts w:hint="eastAsia" w:ascii="宋体" w:hAnsi="宋体" w:eastAsia="宋体" w:cs="宋体"/>
              <w:sz w:val="24"/>
              <w:szCs w:val="24"/>
            </w:rPr>
            <w:fldChar w:fldCharType="separate"/>
          </w:r>
          <w:r>
            <w:rPr>
              <w:rFonts w:hint="eastAsia" w:ascii="宋体" w:hAnsi="宋体" w:eastAsia="宋体" w:cs="宋体"/>
              <w:sz w:val="24"/>
              <w:szCs w:val="24"/>
            </w:rPr>
            <w:t>六、一般公共预算财政拨款基本支出决算情况说明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_Toc21758 </w:instrText>
          </w:r>
          <w:r>
            <w:rPr>
              <w:rFonts w:hint="eastAsia" w:ascii="宋体" w:hAnsi="宋体" w:eastAsia="宋体" w:cs="宋体"/>
              <w:sz w:val="24"/>
              <w:szCs w:val="24"/>
            </w:rPr>
            <w:fldChar w:fldCharType="separate"/>
          </w:r>
          <w:r>
            <w:rPr>
              <w:rFonts w:hint="eastAsia" w:ascii="宋体" w:hAnsi="宋体" w:eastAsia="宋体" w:cs="宋体"/>
              <w:sz w:val="24"/>
              <w:szCs w:val="24"/>
            </w:rPr>
            <w:t>七、“三公”经费财政拨款支出决算情况说明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_Toc21758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_Toc7735 </w:instrText>
          </w:r>
          <w:r>
            <w:rPr>
              <w:rFonts w:hint="eastAsia" w:ascii="宋体" w:hAnsi="宋体" w:eastAsia="宋体" w:cs="宋体"/>
              <w:sz w:val="24"/>
              <w:szCs w:val="24"/>
            </w:rPr>
            <w:fldChar w:fldCharType="separate"/>
          </w:r>
          <w:r>
            <w:rPr>
              <w:rFonts w:hint="eastAsia" w:ascii="宋体" w:hAnsi="宋体" w:eastAsia="宋体" w:cs="宋体"/>
              <w:sz w:val="24"/>
              <w:szCs w:val="24"/>
            </w:rPr>
            <w:t>八、政府性基金预算支出决算情况说明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_Toc7735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_Toc4689 </w:instrText>
          </w:r>
          <w:r>
            <w:rPr>
              <w:rFonts w:hint="eastAsia" w:ascii="宋体" w:hAnsi="宋体" w:eastAsia="宋体" w:cs="宋体"/>
              <w:sz w:val="24"/>
              <w:szCs w:val="24"/>
            </w:rPr>
            <w:fldChar w:fldCharType="separate"/>
          </w:r>
          <w:r>
            <w:rPr>
              <w:rFonts w:hint="eastAsia" w:ascii="宋体" w:hAnsi="宋体" w:eastAsia="宋体" w:cs="宋体"/>
              <w:sz w:val="24"/>
              <w:szCs w:val="24"/>
            </w:rPr>
            <w:t>九、国有资本经营预算支出决算情况说明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_Toc4689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_Toc6878 </w:instrText>
          </w:r>
          <w:r>
            <w:rPr>
              <w:rFonts w:hint="eastAsia" w:ascii="宋体" w:hAnsi="宋体" w:eastAsia="宋体" w:cs="宋体"/>
              <w:sz w:val="24"/>
              <w:szCs w:val="24"/>
            </w:rPr>
            <w:fldChar w:fldCharType="separate"/>
          </w:r>
          <w:r>
            <w:rPr>
              <w:rFonts w:hint="eastAsia" w:ascii="宋体" w:hAnsi="宋体" w:eastAsia="宋体" w:cs="宋体"/>
              <w:sz w:val="24"/>
              <w:szCs w:val="24"/>
            </w:rPr>
            <w:t>十、其他重要事项的情况说明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_Toc6878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_Toc5658 </w:instrText>
          </w:r>
          <w:r>
            <w:rPr>
              <w:rFonts w:hint="eastAsia" w:ascii="宋体" w:hAnsi="宋体" w:eastAsia="宋体" w:cs="宋体"/>
              <w:sz w:val="24"/>
              <w:szCs w:val="24"/>
            </w:rPr>
            <w:fldChar w:fldCharType="separate"/>
          </w:r>
          <w:r>
            <w:rPr>
              <w:rFonts w:hint="eastAsia" w:ascii="仿宋" w:hAnsi="仿宋" w:eastAsia="仿宋" w:cs="仿宋"/>
              <w:sz w:val="24"/>
              <w:szCs w:val="24"/>
            </w:rPr>
            <w:t>第三部分 名词解释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_Toc5658 \h </w:instrText>
          </w:r>
          <w:r>
            <w:rPr>
              <w:rFonts w:hint="eastAsia" w:ascii="宋体" w:hAnsi="宋体" w:eastAsia="宋体" w:cs="宋体"/>
              <w:sz w:val="24"/>
              <w:szCs w:val="24"/>
            </w:rPr>
            <w:fldChar w:fldCharType="separate"/>
          </w:r>
          <w:r>
            <w:rPr>
              <w:rFonts w:hint="eastAsia" w:ascii="宋体" w:hAnsi="宋体" w:eastAsia="宋体" w:cs="宋体"/>
              <w:sz w:val="24"/>
              <w:szCs w:val="24"/>
            </w:rPr>
            <w:t>22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_Toc23409 </w:instrText>
          </w:r>
          <w:r>
            <w:rPr>
              <w:rFonts w:hint="eastAsia" w:ascii="宋体" w:hAnsi="宋体" w:eastAsia="宋体" w:cs="宋体"/>
              <w:sz w:val="24"/>
              <w:szCs w:val="24"/>
            </w:rPr>
            <w:fldChar w:fldCharType="separate"/>
          </w:r>
          <w:r>
            <w:rPr>
              <w:rFonts w:hint="eastAsia" w:ascii="仿宋" w:hAnsi="仿宋" w:eastAsia="仿宋" w:cs="仿宋"/>
              <w:sz w:val="24"/>
              <w:szCs w:val="24"/>
            </w:rPr>
            <w:t>第四部分 附件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_Toc23409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0"/>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_Toc17722 </w:instrText>
          </w:r>
          <w:r>
            <w:rPr>
              <w:rFonts w:hint="eastAsia" w:ascii="宋体" w:hAnsi="宋体" w:eastAsia="宋体" w:cs="宋体"/>
              <w:sz w:val="24"/>
              <w:szCs w:val="24"/>
            </w:rPr>
            <w:fldChar w:fldCharType="separate"/>
          </w:r>
          <w:r>
            <w:rPr>
              <w:rFonts w:hint="eastAsia" w:ascii="仿宋" w:hAnsi="仿宋" w:eastAsia="仿宋" w:cs="仿宋"/>
              <w:sz w:val="24"/>
              <w:szCs w:val="24"/>
            </w:rPr>
            <w:t>第五部分 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_Toc17722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_Toc32161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lang w:val="zh-CN" w:eastAsia="zh-CN" w:bidi="ar-SA"/>
            </w:rPr>
            <w:t>一、收入支出决算总表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_Toc32161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_Toc18837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lang w:val="zh-CN" w:eastAsia="zh-CN" w:bidi="ar-SA"/>
            </w:rPr>
            <w:t>二、收入决算表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_Toc18837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_Toc17138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lang w:val="zh-CN" w:eastAsia="zh-CN" w:bidi="ar-SA"/>
            </w:rPr>
            <w:t>三、支出决算表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_Toc17138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_Toc18717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lang w:val="zh-CN" w:eastAsia="zh-CN" w:bidi="ar-SA"/>
            </w:rPr>
            <w:t>四、财政拨款收入支出决算总表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_Toc18717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_Toc516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lang w:val="zh-CN" w:eastAsia="zh-CN" w:bidi="ar-SA"/>
            </w:rPr>
            <w:t>五、财政拨款支出决算明细表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_Toc516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_Toc20106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lang w:val="zh-CN" w:eastAsia="zh-CN" w:bidi="ar-SA"/>
            </w:rPr>
            <w:t>六、一般公共预算财政拨款支出决算表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_Toc20106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_Toc14075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lang w:val="zh-CN" w:eastAsia="zh-CN" w:bidi="ar-SA"/>
            </w:rPr>
            <w:t>七、一般公共预算财政拨款支出决算明细表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_Toc14075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_Toc14474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lang w:val="zh-CN" w:eastAsia="zh-CN" w:bidi="ar-SA"/>
            </w:rPr>
            <w:t>八、一般公共预算财政拨款基本支出决算表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_Toc14474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_Toc21607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lang w:val="zh-CN" w:eastAsia="zh-CN" w:bidi="ar-SA"/>
            </w:rPr>
            <w:t>九、一般公共预算财政拨款项目支出决算表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_Toc21607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_Toc27559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lang w:val="zh-CN" w:eastAsia="zh-CN" w:bidi="ar-SA"/>
            </w:rPr>
            <w:t>十、一般公共预算财政拨款“三公”经费支出决算表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_Toc27559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_Toc16403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lang w:val="zh-CN" w:eastAsia="zh-CN" w:bidi="ar-SA"/>
            </w:rPr>
            <w:t>十一、政府性基金预算财政拨款收入支出决算表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_Toc16403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_Toc9277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lang w:val="zh-CN" w:eastAsia="zh-CN" w:bidi="ar-SA"/>
            </w:rPr>
            <w:t>十二、政府性基金预算财政拨款“三公”经费支出决算表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_Toc9277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_Toc931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lang w:val="zh-CN" w:eastAsia="zh-CN" w:bidi="ar-SA"/>
            </w:rPr>
            <w:t>十三、国有资本经营预算财政拨款收入支出决算表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_Toc931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1"/>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_Toc28976 </w:instrText>
          </w:r>
          <w:r>
            <w:rPr>
              <w:rFonts w:hint="eastAsia" w:ascii="宋体" w:hAnsi="宋体" w:eastAsia="宋体" w:cs="宋体"/>
              <w:sz w:val="24"/>
              <w:szCs w:val="24"/>
            </w:rPr>
            <w:fldChar w:fldCharType="separate"/>
          </w:r>
          <w:r>
            <w:rPr>
              <w:rFonts w:hint="eastAsia" w:ascii="宋体" w:hAnsi="宋体" w:eastAsia="宋体" w:cs="宋体"/>
              <w:bCs w:val="0"/>
              <w:kern w:val="2"/>
              <w:sz w:val="24"/>
              <w:szCs w:val="24"/>
              <w:lang w:val="zh-CN" w:eastAsia="zh-CN" w:bidi="ar-SA"/>
            </w:rPr>
            <w:t>十四、国有资本经营预算财政拨款支出决算表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_Toc28976 \h </w:instrText>
          </w:r>
          <w:r>
            <w:rPr>
              <w:rFonts w:hint="eastAsia" w:ascii="宋体" w:hAnsi="宋体" w:eastAsia="宋体" w:cs="宋体"/>
              <w:sz w:val="24"/>
              <w:szCs w:val="24"/>
            </w:rPr>
            <w:fldChar w:fldCharType="separate"/>
          </w:r>
          <w:r>
            <w:rPr>
              <w:rFonts w:hint="eastAsia" w:ascii="宋体" w:hAnsi="宋体" w:eastAsia="宋体" w:cs="宋体"/>
              <w:sz w:val="24"/>
              <w:szCs w:val="24"/>
            </w:rPr>
            <w:t>35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end"/>
          </w:r>
        </w:p>
      </w:sdtContent>
    </w:sdt>
    <w:p>
      <w:pPr>
        <w:widowControl/>
        <w:spacing w:line="440" w:lineRule="exact"/>
        <w:jc w:val="left"/>
        <w:sectPr>
          <w:footerReference r:id="rId5" w:type="first"/>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bookmarkStart w:id="18" w:name="_Toc15396599"/>
      <w:bookmarkStart w:id="19" w:name="_Toc15377196"/>
      <w:r>
        <w:rPr>
          <w:rFonts w:ascii="仿宋" w:hAnsi="仿宋" w:eastAsia="仿宋"/>
          <w:b/>
          <w:sz w:val="24"/>
        </w:rPr>
        <w:br w:type="page"/>
      </w:r>
    </w:p>
    <w:p>
      <w:pPr>
        <w:pStyle w:val="3"/>
      </w:pPr>
      <w:bookmarkStart w:id="20" w:name="_Toc25042"/>
      <w:r>
        <w:rPr>
          <w:rFonts w:hint="eastAsia"/>
        </w:rPr>
        <w:t>第一部分 单位概况</w:t>
      </w:r>
      <w:bookmarkEnd w:id="18"/>
      <w:bookmarkEnd w:id="19"/>
      <w:bookmarkEnd w:id="20"/>
    </w:p>
    <w:p>
      <w:pPr>
        <w:pStyle w:val="4"/>
        <w:spacing w:before="0" w:after="0" w:line="600" w:lineRule="exact"/>
        <w:ind w:firstLine="640"/>
      </w:pPr>
      <w:bookmarkStart w:id="21" w:name="_Toc28805"/>
      <w:bookmarkStart w:id="22" w:name="_Toc15377197"/>
      <w:bookmarkStart w:id="23" w:name="_Toc15396600"/>
      <w:r>
        <w:rPr>
          <w:rFonts w:hint="eastAsia"/>
        </w:rPr>
        <w:t>一、职能简介</w:t>
      </w:r>
      <w:bookmarkEnd w:id="21"/>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国际经济贸易研究所为财政全额拨款的科研事业单位，核编20人。现实有在职人员11人（其中，管理岗5级1人，管理岗8级3人，专业技术岗7级2人，专业技术岗9级2人，专业技术岗10级2人，专业技术岗12级1人）；退休人员9人。</w:t>
      </w:r>
    </w:p>
    <w:p>
      <w:pPr>
        <w:pStyle w:val="2"/>
        <w:spacing w:beforeLines="0" w:line="600" w:lineRule="exact"/>
        <w:ind w:firstLine="640" w:firstLineChars="200"/>
        <w:rPr>
          <w:rFonts w:ascii="仿宋" w:hAnsi="仿宋" w:eastAsia="仿宋"/>
          <w:sz w:val="32"/>
          <w:szCs w:val="32"/>
        </w:rPr>
      </w:pPr>
      <w:r>
        <w:rPr>
          <w:rFonts w:hint="eastAsia" w:ascii="仿宋_GB2312" w:hAnsi="仿宋_GB2312" w:eastAsia="仿宋_GB2312" w:cs="仿宋_GB2312"/>
          <w:sz w:val="32"/>
          <w:szCs w:val="32"/>
        </w:rPr>
        <w:t>我所主要职能为：收集整理国际经济贸易信息、开展对外经济贸易调查研究、为领导决策提供依据、举办研讨活动、编印内部刊物及资料、面向社会开展信息咨询服务。</w:t>
      </w:r>
    </w:p>
    <w:p>
      <w:pPr>
        <w:pStyle w:val="4"/>
        <w:spacing w:before="0" w:after="0" w:line="600" w:lineRule="exact"/>
        <w:ind w:firstLine="640"/>
        <w:rPr>
          <w:rFonts w:hint="eastAsia"/>
        </w:rPr>
      </w:pPr>
      <w:bookmarkStart w:id="24" w:name="_Toc27508"/>
      <w:r>
        <w:rPr>
          <w:rFonts w:hint="eastAsia"/>
        </w:rPr>
        <w:t>二、</w:t>
      </w:r>
      <w:r>
        <w:rPr>
          <w:rFonts w:hint="eastAsia" w:ascii="黑体" w:hAnsi="黑体" w:eastAsia="黑体" w:cs="黑体"/>
        </w:rPr>
        <w:t>2020</w:t>
      </w:r>
      <w:r>
        <w:rPr>
          <w:rFonts w:hint="eastAsia"/>
        </w:rPr>
        <w:t>年重点工作</w:t>
      </w:r>
      <w:bookmarkEnd w:id="22"/>
      <w:bookmarkEnd w:id="23"/>
      <w:r>
        <w:rPr>
          <w:rFonts w:hint="eastAsia"/>
        </w:rPr>
        <w:t>完成情况</w:t>
      </w:r>
      <w:bookmarkEnd w:id="24"/>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今年以来，研究所立足商务中心，不断强化核心业务，着力打造一支“善于思考，勇于创新，精于钻研”的调研队伍，面对疫情，将“走出去”调研调整为“坐下来”钻研，加速推进年初各项工作计划，结合商务发展面临的新形势，充分发挥团队协作力量，聚焦热点、把握重点、攻克难点，有针对性地开展调研工作，打造课题精品。</w:t>
      </w:r>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紧扣中心，前瞻调研显实效。认真贯彻落实中央及省委省政府部署，研究所今年共完成各类课题21项，其中：省领导课题1篇，成渝地区双城经济圈商务手册1本，“十四五”规划研究2篇，《商务调研》17期。一是着眼“十四五”发展形势、疫情下商务经济发展、开放型经济、消费等热点领域，开展《“十四五”时期商务发展的形势展望》《“十四五”时期我国国际环境特征趋势及开放经济发展对策》《眉山市东坡区服务业“十四五”发展规划》《疫情冲击下四川外贸的危与机》《找准疫情下促进消费回补升级的着力点》《新形势下我国产业参与全球竞争的优势分析》《人民币升值对货物进出口的影响分析及企业应对之策》《关于推进四川更高水平开放的几点思考》《对加快培育四川新消费的研究》《从城市商业魅力看成都的消费潜力》等10余篇课题研究；二是紧扣国家发展战略，聚焦构建“双循环”新发展格局，开展《建设现代流通体系 助力新发展格局》《扩大服务业高水平开放 加速融入“双循环”新发展格局》等专题研究；根据刘欣厅长指示，积极对接省发改委、厅市运处和外贸处，主动承担《融入双循环新发展格局、扩大内需的四川路径》课题撰写工作；三是贯彻落实成渝地区双城经济圈建设重大战略部署，开展专项研究。收集整理四川、重庆两地近五年来经济及商务相关数据，汇编《成渝地区双城经济圈商务手册》，于4月印发全省商务系统参阅，收到广泛好评；主动开展《成渝地区双城经济圈协同发展研究》，研究讨论成渝地区双城经济圈建设战略定位、协同发展重点领域以及主要措施。</w:t>
      </w:r>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强化协作，处室合作增能力。根据年初制定的《研究所与厅处室联系对接表》，研究所积极与厅机关处室建立紧密的协作机制，服务商务中心工作。协助外贸处完成2-6月外贸结构运行分析等5篇报告；配合扶贫办完成《川越贫困》四川脱贫攻坚书系综述卷材料商务扶贫部分；协助流通业处筹备全国小店经济试点申请评审会；配合市建处完成对省第十三届人大第三次会议第905号提案《以新零售思维创新精准扶贫模式，牵引市场化、产业化开发扶贫》的答复。</w:t>
      </w:r>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务实编印刊物。紧扣商务发展热点难点，编印《四川商务》内刊10期，客观宣传商务系统工作和思路，印发全省商务系统。完成2020年《四川商务年鉴》、《四川国际商务指南》的编印工作、商务厅大事记编写工作以及《中国商务年鉴》四川部分和《四川年鉴》商务部分的供稿工作。</w:t>
      </w:r>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积极开展四川自贸试验区相关工作。通过深入座谈，撰写《自贸试验区达州协同改革先行区建设总体方案》《自贸试验区遂宁协同改革先行区建设总体方案》《自贸试验区德阳协同改革先行区发展报告》等；成立四川自贸区专家咨询委员会，举办自贸区协同开放专家座谈会，研讨自贸区协同开放热点等问题；举办四川自贸试验区协同改革先行区工作交流会，分享先行区工作经验；组织四川自贸试验区第四批“最佳实践案例”专家研讨会，确定20条第四批“最佳实践案例”，并对其进行评估，形成四川自贸试验区第四批最佳实践案例评估报告。</w:t>
      </w:r>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切实做好全省步行街改造升级工作。成立全省步行街研究中心，组织步行街专家，完成全省20个申报步行街的预评审工作；协助商务厅举办眉山“步步欢乐购”步行街促消费活动，联络组织全省具有代表性的步行街运营方参与活动并发布宣言；应国务院办公厅就四川步行街发展的约稿要求，深入分析四川当前改造提升步行街、推动消费回升过程中面临的突出困难和瓶颈掣肘以及下一步工作重点，形成专报报送省政府。</w:t>
      </w:r>
    </w:p>
    <w:p>
      <w:pPr>
        <w:pStyle w:val="2"/>
        <w:spacing w:before="93"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（七）协助四川自贸办完成其它工作。协助完成四川自贸试验区第二批协同改革先行区申建评审工作，促进其顺利完成；收集、整理、汇编、校对自贸办各处室材料，协助完成中央深改办来川调研材料准备工作。</w:t>
      </w:r>
    </w:p>
    <w:p>
      <w:pPr>
        <w:pStyle w:val="4"/>
        <w:spacing w:before="0" w:after="0" w:line="600" w:lineRule="exact"/>
        <w:ind w:firstLine="640"/>
        <w:rPr>
          <w:rFonts w:hint="eastAsia" w:eastAsia="黑体"/>
          <w:lang w:eastAsia="zh-CN"/>
        </w:rPr>
      </w:pPr>
      <w:bookmarkStart w:id="25" w:name="_Toc12288"/>
      <w:r>
        <w:rPr>
          <w:rFonts w:hint="eastAsia"/>
          <w:lang w:eastAsia="zh-CN"/>
        </w:rPr>
        <w:t>三</w:t>
      </w:r>
      <w:r>
        <w:rPr>
          <w:rFonts w:hint="eastAsia"/>
        </w:rPr>
        <w:t>、</w:t>
      </w:r>
      <w:r>
        <w:rPr>
          <w:rFonts w:hint="eastAsia"/>
          <w:lang w:eastAsia="zh-CN"/>
        </w:rPr>
        <w:t>机构设置情况</w:t>
      </w:r>
      <w:bookmarkEnd w:id="25"/>
    </w:p>
    <w:p>
      <w:pPr>
        <w:pStyle w:val="2"/>
        <w:spacing w:before="93"/>
        <w:ind w:firstLine="640" w:firstLineChars="200"/>
        <w:rPr>
          <w:rFonts w:hint="eastAsia" w:eastAsia="仿宋_GB2312" w:asciiTheme="minorHAnsi" w:hAnsiTheme="minorHAnsi"/>
          <w:lang w:eastAsia="zh-CN"/>
        </w:rPr>
      </w:pPr>
      <w:r>
        <w:rPr>
          <w:rFonts w:hint="eastAsia" w:hAnsi="仿宋_GB2312" w:cs="仿宋_GB2312"/>
          <w:sz w:val="32"/>
          <w:szCs w:val="32"/>
          <w:lang w:eastAsia="zh-CN"/>
        </w:rPr>
        <w:t>研究所暂未设置内设机构，根据各职能分工，单位共由</w:t>
      </w:r>
      <w:r>
        <w:rPr>
          <w:rFonts w:hint="eastAsia" w:hAnsi="仿宋_GB2312" w:cs="仿宋_GB2312"/>
          <w:sz w:val="32"/>
          <w:szCs w:val="32"/>
          <w:lang w:val="en-US" w:eastAsia="zh-CN"/>
        </w:rPr>
        <w:t>5个组（室）组成，分别是：</w:t>
      </w:r>
      <w:r>
        <w:rPr>
          <w:rFonts w:hint="eastAsia" w:hAnsi="仿宋_GB2312" w:cs="仿宋_GB2312"/>
          <w:sz w:val="32"/>
          <w:szCs w:val="32"/>
          <w:lang w:eastAsia="zh-CN"/>
        </w:rPr>
        <w:t>办公室、财务室、服务业发展研究小组、开放型经济研究小组及商贸流通研究小组。</w:t>
      </w:r>
    </w:p>
    <w:p>
      <w:pPr>
        <w:pStyle w:val="2"/>
        <w:spacing w:before="93"/>
        <w:rPr>
          <w:rFonts w:asciiTheme="minorHAnsi" w:hAnsiTheme="minorHAnsi"/>
        </w:rPr>
      </w:pPr>
    </w:p>
    <w:p>
      <w:pPr>
        <w:pStyle w:val="2"/>
        <w:spacing w:before="93"/>
        <w:rPr>
          <w:rFonts w:asciiTheme="minorHAnsi" w:hAnsiTheme="minorHAnsi"/>
        </w:rPr>
      </w:pPr>
    </w:p>
    <w:p>
      <w:pPr>
        <w:pStyle w:val="2"/>
        <w:spacing w:before="93"/>
        <w:rPr>
          <w:rFonts w:asciiTheme="minorHAnsi" w:hAnsiTheme="minorHAnsi"/>
        </w:rPr>
      </w:pPr>
    </w:p>
    <w:p>
      <w:pPr>
        <w:pStyle w:val="2"/>
        <w:spacing w:before="93"/>
        <w:rPr>
          <w:rFonts w:asciiTheme="minorHAnsi" w:hAnsiTheme="minorHAnsi"/>
        </w:rPr>
      </w:pPr>
    </w:p>
    <w:p>
      <w:pPr>
        <w:pStyle w:val="2"/>
        <w:spacing w:before="93"/>
        <w:rPr>
          <w:rFonts w:asciiTheme="minorHAnsi" w:hAnsiTheme="minorHAnsi"/>
        </w:rPr>
      </w:pPr>
    </w:p>
    <w:p>
      <w:pPr>
        <w:pStyle w:val="2"/>
        <w:spacing w:before="93"/>
        <w:rPr>
          <w:rFonts w:asciiTheme="minorHAnsi" w:hAnsiTheme="minorHAnsi"/>
        </w:rPr>
      </w:pPr>
    </w:p>
    <w:p>
      <w:pPr>
        <w:pStyle w:val="2"/>
        <w:spacing w:before="93"/>
        <w:rPr>
          <w:rFonts w:asciiTheme="minorHAnsi" w:hAnsiTheme="minorHAnsi"/>
        </w:rPr>
      </w:pPr>
    </w:p>
    <w:p>
      <w:pPr>
        <w:pStyle w:val="3"/>
      </w:pPr>
      <w:bookmarkStart w:id="26" w:name="_Toc15396602"/>
      <w:bookmarkStart w:id="27" w:name="_Toc15377204"/>
      <w:bookmarkStart w:id="28" w:name="_Toc770"/>
      <w:r>
        <w:rPr>
          <w:rFonts w:hint="eastAsia"/>
        </w:rPr>
        <w:t xml:space="preserve">第二部分 </w:t>
      </w:r>
      <w:r>
        <w:rPr>
          <w:rFonts w:hint="eastAsia" w:ascii="黑体" w:hAnsi="黑体"/>
        </w:rPr>
        <w:t>2020</w:t>
      </w:r>
      <w:r>
        <w:rPr>
          <w:rFonts w:hint="eastAsia"/>
        </w:rPr>
        <w:t>年度</w:t>
      </w:r>
      <w:r>
        <w:rPr>
          <w:rFonts w:hint="eastAsia"/>
          <w:lang w:eastAsia="zh-CN"/>
        </w:rPr>
        <w:t>单位</w:t>
      </w:r>
      <w:r>
        <w:rPr>
          <w:rFonts w:hint="eastAsia"/>
        </w:rPr>
        <w:t>决算情况说明</w:t>
      </w:r>
      <w:bookmarkEnd w:id="26"/>
      <w:bookmarkEnd w:id="27"/>
      <w:bookmarkEnd w:id="28"/>
    </w:p>
    <w:p>
      <w:pPr>
        <w:pStyle w:val="4"/>
        <w:spacing w:before="0" w:after="0" w:line="600" w:lineRule="exact"/>
        <w:ind w:firstLine="640"/>
      </w:pPr>
      <w:bookmarkStart w:id="29" w:name="_Toc15377205"/>
      <w:bookmarkStart w:id="30" w:name="_Toc15396603"/>
      <w:bookmarkStart w:id="31" w:name="_Toc9719"/>
      <w:r>
        <w:rPr>
          <w:rFonts w:hint="eastAsia"/>
        </w:rPr>
        <w:t>一、收入支出决算总体情况说明</w:t>
      </w:r>
      <w:bookmarkEnd w:id="29"/>
      <w:bookmarkEnd w:id="30"/>
      <w:bookmarkEnd w:id="31"/>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2020年度收、支总计各230.27万元。与2019年相比，收、支总计各增加33.40万元，增长16.97%。主要变动原因是2019年12月新进6名人员，使得2020年经费需求增加。</w:t>
      </w:r>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pPr>
        <w:pStyle w:val="2"/>
        <w:spacing w:before="93"/>
        <w:rPr>
          <w:rFonts w:asciiTheme="minorEastAsia" w:hAnsiTheme="minorEastAsia" w:eastAsiaTheme="minorEastAsia"/>
          <w:sz w:val="32"/>
          <w:szCs w:val="32"/>
        </w:rPr>
      </w:pPr>
      <w:r>
        <w:rPr>
          <w:rFonts w:asciiTheme="minorEastAsia" w:hAnsiTheme="minorEastAsia" w:eastAsiaTheme="minorEastAsia"/>
          <w:sz w:val="32"/>
          <w:szCs w:val="32"/>
        </w:rPr>
        <w:drawing>
          <wp:inline distT="0" distB="0" distL="0" distR="0">
            <wp:extent cx="5274310" cy="3076575"/>
            <wp:effectExtent l="19050" t="0" r="2159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32" w:name="_Toc15396604"/>
      <w:bookmarkStart w:id="33" w:name="_Toc15377206"/>
    </w:p>
    <w:p>
      <w:pPr>
        <w:pStyle w:val="4"/>
        <w:spacing w:before="0" w:after="0" w:line="600" w:lineRule="exact"/>
        <w:ind w:firstLine="640"/>
      </w:pPr>
      <w:bookmarkStart w:id="34" w:name="_Toc12117"/>
      <w:r>
        <w:rPr>
          <w:rFonts w:hint="eastAsia"/>
        </w:rPr>
        <w:t>二、收入决算情况说明</w:t>
      </w:r>
      <w:bookmarkEnd w:id="32"/>
      <w:bookmarkEnd w:id="33"/>
      <w:bookmarkEnd w:id="34"/>
    </w:p>
    <w:p>
      <w:pPr>
        <w:pStyle w:val="2"/>
        <w:spacing w:beforeLines="0" w:line="600" w:lineRule="exact"/>
        <w:ind w:firstLine="640" w:firstLineChars="200"/>
        <w:rPr>
          <w:rFonts w:hint="eastAsia" w:ascii="仿宋_GB2312" w:hAnsi="仿宋_GB2312" w:eastAsia="仿宋_GB2312" w:cs="仿宋_GB2312"/>
          <w:sz w:val="32"/>
          <w:szCs w:val="32"/>
        </w:rPr>
      </w:pPr>
      <w:bookmarkStart w:id="35" w:name="_Toc80874580"/>
      <w:r>
        <w:rPr>
          <w:rFonts w:hint="eastAsia" w:ascii="仿宋_GB2312" w:hAnsi="仿宋_GB2312" w:eastAsia="仿宋_GB2312" w:cs="仿宋_GB2312"/>
          <w:sz w:val="32"/>
          <w:szCs w:val="32"/>
        </w:rPr>
        <w:t>2020年本年收入合计230.27万元，其中：一般公共预算财政拨款收入230.27万元，占100%；政府性基金预算财政拨款收入0万元，占0%；上级补助收入0万元，占0%；事业收入0万元，占0%；经营收入0万元，占0%；附属单位上缴收入0万元，占0%；其他收入0万元，占0%。</w:t>
      </w:r>
      <w:bookmarkEnd w:id="35"/>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（图2：收入决算结构图）（饼状图）</w:t>
      </w:r>
    </w:p>
    <w:p>
      <w:pPr>
        <w:pStyle w:val="2"/>
        <w:spacing w:before="93"/>
        <w:rPr>
          <w:rFonts w:asciiTheme="minorEastAsia" w:hAnsiTheme="minorEastAsia" w:eastAsiaTheme="minorEastAsia"/>
          <w:sz w:val="32"/>
          <w:szCs w:val="32"/>
        </w:rPr>
      </w:pPr>
      <w:r>
        <w:rPr>
          <w:rFonts w:asciiTheme="minorEastAsia" w:hAnsiTheme="minorEastAsia" w:eastAsiaTheme="minorEastAsia"/>
          <w:sz w:val="32"/>
          <w:szCs w:val="32"/>
        </w:rPr>
        <w:drawing>
          <wp:inline distT="0" distB="0" distL="0" distR="0">
            <wp:extent cx="5274310" cy="3076575"/>
            <wp:effectExtent l="19050" t="0" r="2159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4"/>
        <w:spacing w:before="0" w:after="0" w:line="600" w:lineRule="exact"/>
        <w:ind w:firstLine="640"/>
      </w:pPr>
      <w:bookmarkStart w:id="36" w:name="_Toc15396605"/>
      <w:bookmarkStart w:id="37" w:name="_Toc15377207"/>
      <w:bookmarkStart w:id="38" w:name="_Toc10741"/>
      <w:r>
        <w:rPr>
          <w:rFonts w:hint="eastAsia"/>
        </w:rPr>
        <w:t>三、支出决算情况说明</w:t>
      </w:r>
      <w:bookmarkEnd w:id="36"/>
      <w:bookmarkEnd w:id="37"/>
      <w:bookmarkEnd w:id="38"/>
    </w:p>
    <w:p>
      <w:pPr>
        <w:pStyle w:val="2"/>
        <w:spacing w:beforeLines="0" w:line="600" w:lineRule="exact"/>
        <w:ind w:firstLine="640" w:firstLineChars="200"/>
        <w:rPr>
          <w:rFonts w:hint="eastAsia" w:ascii="仿宋_GB2312" w:hAnsi="仿宋_GB2312" w:eastAsia="仿宋_GB2312" w:cs="仿宋_GB2312"/>
          <w:sz w:val="32"/>
          <w:szCs w:val="32"/>
        </w:rPr>
      </w:pPr>
      <w:bookmarkStart w:id="39" w:name="_Toc80874582"/>
      <w:r>
        <w:rPr>
          <w:rFonts w:hint="eastAsia" w:ascii="仿宋_GB2312" w:hAnsi="仿宋_GB2312" w:eastAsia="仿宋_GB2312" w:cs="仿宋_GB2312"/>
          <w:sz w:val="32"/>
          <w:szCs w:val="32"/>
        </w:rPr>
        <w:t>2020年本年支出合计230.27万元，其中：基本支出189.89万元，占82.46%；项目支出40.38万元，占17.54%；上缴上级支出0万元，占0%；经营支出0万元，占0%；对附属单位补助支出0万元，占0%。</w:t>
      </w:r>
      <w:bookmarkEnd w:id="39"/>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（图3：支出决算结构图）（饼状图）</w:t>
      </w:r>
    </w:p>
    <w:p>
      <w:pPr>
        <w:pStyle w:val="2"/>
        <w:spacing w:before="93"/>
        <w:rPr>
          <w:rFonts w:asciiTheme="minorEastAsia" w:hAnsiTheme="minorEastAsia" w:eastAsiaTheme="minorEastAsia"/>
          <w:sz w:val="32"/>
          <w:szCs w:val="32"/>
        </w:rPr>
      </w:pPr>
      <w:r>
        <w:rPr>
          <w:rFonts w:asciiTheme="minorEastAsia" w:hAnsiTheme="minorEastAsia" w:eastAsiaTheme="minorEastAsia"/>
          <w:sz w:val="32"/>
          <w:szCs w:val="32"/>
        </w:rPr>
        <w:drawing>
          <wp:inline distT="0" distB="0" distL="0" distR="0">
            <wp:extent cx="5274310" cy="3076575"/>
            <wp:effectExtent l="19050" t="0" r="2159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4"/>
        <w:spacing w:before="0" w:after="0" w:line="600" w:lineRule="exact"/>
        <w:ind w:firstLine="640"/>
      </w:pPr>
      <w:bookmarkStart w:id="40" w:name="_Toc15396606"/>
      <w:bookmarkStart w:id="41" w:name="_Toc15377208"/>
      <w:bookmarkStart w:id="42" w:name="_Toc28056"/>
      <w:r>
        <w:rPr>
          <w:rFonts w:hint="eastAsia"/>
        </w:rPr>
        <w:t>四、财政拨款收入支出决算总体情况说明</w:t>
      </w:r>
      <w:bookmarkEnd w:id="40"/>
      <w:bookmarkEnd w:id="41"/>
      <w:bookmarkEnd w:id="42"/>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2020年财政拨款收、支总计各230.27万元。与2019年相比，财政拨款收、支总计各增加33.40万元，增长16.97%。主要变动原因是2019年12月新进6名人员，使得2020年经费需求增加。</w:t>
      </w:r>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（图4：财政拨款收、支决算总计变动情况）（柱状图）</w:t>
      </w:r>
    </w:p>
    <w:p>
      <w:pPr>
        <w:pStyle w:val="2"/>
        <w:spacing w:before="93"/>
        <w:rPr>
          <w:rFonts w:asciiTheme="minorEastAsia" w:hAnsiTheme="minorEastAsia" w:eastAsiaTheme="minorEastAsia"/>
          <w:sz w:val="32"/>
          <w:szCs w:val="32"/>
        </w:rPr>
      </w:pPr>
      <w:r>
        <w:rPr>
          <w:rFonts w:asciiTheme="minorEastAsia" w:hAnsiTheme="minorEastAsia" w:eastAsiaTheme="minorEastAsia"/>
          <w:sz w:val="32"/>
          <w:szCs w:val="32"/>
        </w:rPr>
        <w:drawing>
          <wp:inline distT="0" distB="0" distL="0" distR="0">
            <wp:extent cx="5274310" cy="3076575"/>
            <wp:effectExtent l="19050" t="0" r="21590" b="0"/>
            <wp:docPr id="4"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4"/>
        <w:spacing w:before="0" w:after="0" w:line="600" w:lineRule="exact"/>
        <w:ind w:firstLine="640"/>
      </w:pPr>
      <w:bookmarkStart w:id="43" w:name="_Toc15377209"/>
      <w:bookmarkStart w:id="44" w:name="_Toc15396607"/>
      <w:bookmarkStart w:id="45" w:name="_Toc24859"/>
      <w:r>
        <w:rPr>
          <w:rFonts w:hint="eastAsia"/>
        </w:rPr>
        <w:t>五、一般公共预算财政拨款支出决算情况说明</w:t>
      </w:r>
      <w:bookmarkEnd w:id="43"/>
      <w:bookmarkEnd w:id="44"/>
      <w:bookmarkEnd w:id="45"/>
    </w:p>
    <w:p>
      <w:pPr>
        <w:pStyle w:val="2"/>
        <w:spacing w:beforeLines="0" w:line="600" w:lineRule="exact"/>
        <w:ind w:firstLine="643" w:firstLineChars="200"/>
        <w:rPr>
          <w:rFonts w:hint="eastAsia" w:ascii="楷体_GB2312" w:hAnsi="楷体_GB2312" w:eastAsia="楷体_GB2312" w:cs="楷体_GB2312"/>
          <w:b/>
          <w:sz w:val="32"/>
          <w:szCs w:val="32"/>
        </w:rPr>
      </w:pPr>
      <w:bookmarkStart w:id="46" w:name="_Toc80874585"/>
      <w:bookmarkStart w:id="47" w:name="_Toc15377210"/>
      <w:r>
        <w:rPr>
          <w:rFonts w:hint="eastAsia" w:ascii="楷体_GB2312" w:hAnsi="楷体_GB2312" w:eastAsia="楷体_GB2312" w:cs="楷体_GB2312"/>
          <w:b/>
          <w:sz w:val="32"/>
          <w:szCs w:val="32"/>
        </w:rPr>
        <w:t>（一）一般公共预算财政拨款支出决算总体情况</w:t>
      </w:r>
      <w:bookmarkEnd w:id="46"/>
      <w:bookmarkEnd w:id="47"/>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2020年一般公共预算财政拨款支出230.27万元，占本年支出合计的100%。与2019年相比，一般公共预算财政拨款增加33.40万元，增长16.97%。主要变动原因是2019年12月新进6名人员，使得2020年经费需求增加。</w:t>
      </w:r>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（图5：一般公共预算财政拨款支出决算变动情况）（柱状图）</w:t>
      </w:r>
    </w:p>
    <w:p>
      <w:pPr>
        <w:pStyle w:val="2"/>
        <w:spacing w:before="93"/>
        <w:rPr>
          <w:rFonts w:asciiTheme="minorEastAsia" w:hAnsiTheme="minorEastAsia" w:eastAsiaTheme="minorEastAsia"/>
          <w:sz w:val="32"/>
          <w:szCs w:val="32"/>
        </w:rPr>
      </w:pPr>
      <w:r>
        <w:rPr>
          <w:rFonts w:asciiTheme="minorEastAsia" w:hAnsiTheme="minorEastAsia" w:eastAsiaTheme="minorEastAsia"/>
          <w:sz w:val="32"/>
          <w:szCs w:val="32"/>
        </w:rPr>
        <w:drawing>
          <wp:inline distT="0" distB="0" distL="0" distR="0">
            <wp:extent cx="5274310" cy="3076575"/>
            <wp:effectExtent l="19050" t="0" r="2159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2"/>
        <w:spacing w:beforeLines="0" w:line="600" w:lineRule="exact"/>
        <w:ind w:firstLine="643" w:firstLineChars="200"/>
        <w:rPr>
          <w:rFonts w:hint="eastAsia" w:ascii="楷体_GB2312" w:hAnsi="楷体_GB2312" w:eastAsia="楷体_GB2312" w:cs="楷体_GB2312"/>
          <w:b/>
          <w:sz w:val="32"/>
          <w:szCs w:val="32"/>
        </w:rPr>
      </w:pPr>
      <w:bookmarkStart w:id="48" w:name="_Toc80874586"/>
      <w:bookmarkStart w:id="49" w:name="_Toc15377211"/>
      <w:r>
        <w:rPr>
          <w:rFonts w:hint="eastAsia" w:ascii="楷体_GB2312" w:hAnsi="楷体_GB2312" w:eastAsia="楷体_GB2312" w:cs="楷体_GB2312"/>
          <w:b/>
          <w:sz w:val="32"/>
          <w:szCs w:val="32"/>
        </w:rPr>
        <w:t>（二）一般公共预算财政拨款支出决算结构情况</w:t>
      </w:r>
      <w:bookmarkEnd w:id="48"/>
      <w:bookmarkEnd w:id="49"/>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2020年一般公共预算财政拨款支出230.27万元，主要用于以下方面:</w:t>
      </w:r>
      <w:r>
        <w:rPr>
          <w:rFonts w:hint="eastAsia" w:ascii="仿宋_GB2312" w:hAnsi="仿宋_GB2312" w:eastAsia="仿宋_GB2312" w:cs="仿宋_GB2312"/>
          <w:b/>
          <w:sz w:val="32"/>
          <w:szCs w:val="32"/>
        </w:rPr>
        <w:t>科学技术（类）支出</w:t>
      </w:r>
      <w:r>
        <w:rPr>
          <w:rFonts w:hint="eastAsia" w:ascii="仿宋_GB2312" w:hAnsi="仿宋_GB2312" w:eastAsia="仿宋_GB2312" w:cs="仿宋_GB2312"/>
          <w:sz w:val="32"/>
          <w:szCs w:val="32"/>
        </w:rPr>
        <w:t>174.23万元，占75.66%；</w:t>
      </w:r>
      <w:r>
        <w:rPr>
          <w:rFonts w:hint="eastAsia" w:ascii="仿宋_GB2312" w:hAnsi="仿宋_GB2312" w:eastAsia="仿宋_GB2312" w:cs="仿宋_GB2312"/>
          <w:b/>
          <w:sz w:val="32"/>
          <w:szCs w:val="32"/>
        </w:rPr>
        <w:t>社会保障和就业（类）支出</w:t>
      </w:r>
      <w:r>
        <w:rPr>
          <w:rFonts w:hint="eastAsia" w:ascii="仿宋_GB2312" w:hAnsi="仿宋_GB2312" w:eastAsia="仿宋_GB2312" w:cs="仿宋_GB2312"/>
          <w:sz w:val="32"/>
          <w:szCs w:val="32"/>
        </w:rPr>
        <w:t>23.92万元，占10.39%；</w:t>
      </w:r>
      <w:r>
        <w:rPr>
          <w:rFonts w:hint="eastAsia" w:ascii="仿宋_GB2312" w:hAnsi="仿宋_GB2312" w:eastAsia="仿宋_GB2312" w:cs="仿宋_GB2312"/>
          <w:b/>
          <w:sz w:val="32"/>
          <w:szCs w:val="32"/>
        </w:rPr>
        <w:t>卫生健康类</w:t>
      </w:r>
      <w:r>
        <w:rPr>
          <w:rFonts w:hint="eastAsia" w:ascii="仿宋_GB2312" w:hAnsi="仿宋_GB2312" w:eastAsia="仿宋_GB2312" w:cs="仿宋_GB2312"/>
          <w:sz w:val="32"/>
          <w:szCs w:val="32"/>
        </w:rPr>
        <w:t>支出15.70万元，占6.82%；</w:t>
      </w:r>
      <w:r>
        <w:rPr>
          <w:rFonts w:hint="eastAsia" w:ascii="仿宋_GB2312" w:hAnsi="仿宋_GB2312" w:eastAsia="仿宋_GB2312" w:cs="仿宋_GB2312"/>
          <w:b/>
          <w:sz w:val="32"/>
          <w:szCs w:val="32"/>
        </w:rPr>
        <w:t>住房保障类支出</w:t>
      </w:r>
      <w:r>
        <w:rPr>
          <w:rFonts w:hint="eastAsia" w:ascii="仿宋_GB2312" w:hAnsi="仿宋_GB2312" w:eastAsia="仿宋_GB2312" w:cs="仿宋_GB2312"/>
          <w:sz w:val="32"/>
          <w:szCs w:val="32"/>
        </w:rPr>
        <w:t>16.42万元，占7.13%。</w:t>
      </w:r>
    </w:p>
    <w:p>
      <w:pPr>
        <w:pStyle w:val="2"/>
        <w:spacing w:beforeLines="0" w:line="60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pPr>
        <w:spacing w:line="600" w:lineRule="exact"/>
        <w:ind w:firstLine="640" w:firstLineChars="200"/>
        <w:rPr>
          <w:rFonts w:hint="eastAsia" w:ascii="仿宋_GB2312" w:hAnsi="仿宋_GB2312" w:eastAsia="仿宋_GB2312" w:cs="仿宋_GB2312"/>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r>
        <w:rPr>
          <w:rFonts w:asciiTheme="minorEastAsia" w:hAnsiTheme="minorEastAsia" w:eastAsiaTheme="minorEastAsia"/>
          <w:sz w:val="32"/>
          <w:szCs w:val="32"/>
        </w:rPr>
        <w:drawing>
          <wp:inline distT="0" distB="0" distL="0" distR="0">
            <wp:extent cx="5274310" cy="3076575"/>
            <wp:effectExtent l="19050" t="0" r="2159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2"/>
        <w:spacing w:beforeLines="0" w:line="600" w:lineRule="exact"/>
        <w:ind w:firstLine="643" w:firstLineChars="200"/>
        <w:rPr>
          <w:rFonts w:hint="eastAsia" w:ascii="楷体_GB2312" w:hAnsi="楷体_GB2312" w:eastAsia="楷体_GB2312" w:cs="楷体_GB2312"/>
          <w:b/>
          <w:sz w:val="32"/>
          <w:szCs w:val="32"/>
        </w:rPr>
      </w:pPr>
      <w:bookmarkStart w:id="50" w:name="_Toc80874587"/>
      <w:bookmarkStart w:id="51" w:name="_Toc15377212"/>
      <w:r>
        <w:rPr>
          <w:rFonts w:hint="eastAsia" w:ascii="楷体_GB2312" w:hAnsi="楷体_GB2312" w:eastAsia="楷体_GB2312" w:cs="楷体_GB2312"/>
          <w:b/>
          <w:sz w:val="32"/>
          <w:szCs w:val="32"/>
        </w:rPr>
        <w:t>（三）一般公共预算财政拨款支出决算具体情况</w:t>
      </w:r>
      <w:bookmarkEnd w:id="50"/>
      <w:bookmarkEnd w:id="51"/>
    </w:p>
    <w:p>
      <w:pPr>
        <w:pStyle w:val="2"/>
        <w:spacing w:beforeLines="0" w:line="600" w:lineRule="exact"/>
        <w:ind w:firstLine="640" w:firstLineChars="200"/>
        <w:rPr>
          <w:rFonts w:hint="eastAsia" w:ascii="仿宋_GB2312" w:hAnsi="仿宋_GB2312" w:eastAsia="仿宋_GB2312" w:cs="仿宋_GB2312"/>
          <w:sz w:val="32"/>
          <w:szCs w:val="32"/>
        </w:rPr>
      </w:pPr>
      <w:bookmarkStart w:id="52" w:name="_Toc80874588"/>
      <w:bookmarkStart w:id="53" w:name="_Toc15378460"/>
      <w:bookmarkStart w:id="54" w:name="_Toc15377444"/>
      <w:bookmarkStart w:id="55" w:name="_Toc15377213"/>
      <w:r>
        <w:rPr>
          <w:rFonts w:hint="eastAsia" w:ascii="仿宋_GB2312" w:hAnsi="仿宋_GB2312" w:eastAsia="仿宋_GB2312" w:cs="仿宋_GB2312"/>
          <w:sz w:val="32"/>
          <w:szCs w:val="32"/>
        </w:rPr>
        <w:t>2020年一般公共预算支出决算数为230.27万元，完成预算90.00%。其中：</w:t>
      </w:r>
      <w:bookmarkEnd w:id="52"/>
      <w:bookmarkEnd w:id="53"/>
      <w:bookmarkEnd w:id="54"/>
      <w:bookmarkEnd w:id="55"/>
    </w:p>
    <w:p>
      <w:pPr>
        <w:pStyle w:val="2"/>
        <w:spacing w:beforeLines="0"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1.科学技术支出（类）应用研究（款）机构运行（项）:</w:t>
      </w:r>
      <w:r>
        <w:rPr>
          <w:rFonts w:hint="eastAsia" w:ascii="仿宋_GB2312" w:hAnsi="仿宋_GB2312" w:eastAsia="仿宋_GB2312" w:cs="仿宋_GB2312"/>
          <w:sz w:val="32"/>
          <w:szCs w:val="32"/>
        </w:rPr>
        <w:t xml:space="preserve"> 支出决算为133.85万元，完成预算93.75%，决算数小于预算数的主要原因是人员调出，人员经费支出比预期少。</w:t>
      </w:r>
    </w:p>
    <w:p>
      <w:pPr>
        <w:pStyle w:val="2"/>
        <w:spacing w:beforeLines="0"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2.科学技术支出（类）应用研究（款）社会公益研究（项）: </w:t>
      </w:r>
      <w:r>
        <w:rPr>
          <w:rFonts w:hint="eastAsia" w:ascii="仿宋_GB2312" w:hAnsi="仿宋_GB2312" w:eastAsia="仿宋_GB2312" w:cs="仿宋_GB2312"/>
          <w:sz w:val="32"/>
          <w:szCs w:val="32"/>
        </w:rPr>
        <w:t>支出决算为40.38万元，完成预算73.78%，决算数小于预算数的主要原因是：（1）受疫情影响，单位调研人员外出调研工作的情况比预期少，影响单位本年差旅费的支出；（2）单位办公地址于年中搬迁，预算中的原办公地址的物管费暂停支付。</w:t>
      </w:r>
    </w:p>
    <w:p>
      <w:pPr>
        <w:pStyle w:val="2"/>
        <w:spacing w:beforeLines="0"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3.社会保障和就业支出（类）行政事业单位养老支出（款）机关事业单位基本养老保险缴费支出（项）:</w:t>
      </w:r>
      <w:r>
        <w:rPr>
          <w:rFonts w:hint="eastAsia" w:ascii="仿宋_GB2312" w:hAnsi="仿宋_GB2312" w:eastAsia="仿宋_GB2312" w:cs="仿宋_GB2312"/>
          <w:sz w:val="32"/>
          <w:szCs w:val="32"/>
        </w:rPr>
        <w:t xml:space="preserve"> 支出决算为15.63万元，完成预算84.49%，决算数小于预算数的主要原因是人员调出，支出减少。</w:t>
      </w:r>
    </w:p>
    <w:p>
      <w:pPr>
        <w:pStyle w:val="2"/>
        <w:spacing w:beforeLines="0"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4.社会保障和就业支出（类）行政事业单位养老支出（款）机关事业单位职业年金缴费支出（项）:</w:t>
      </w:r>
      <w:r>
        <w:rPr>
          <w:rFonts w:hint="eastAsia" w:ascii="仿宋_GB2312" w:hAnsi="仿宋_GB2312" w:eastAsia="仿宋_GB2312" w:cs="仿宋_GB2312"/>
          <w:sz w:val="32"/>
          <w:szCs w:val="32"/>
        </w:rPr>
        <w:t xml:space="preserve"> 支出决算为7.67万元，完成预算82.47%，决算数小于预算数的主要原因是人员调出，支出减少。</w:t>
      </w:r>
    </w:p>
    <w:p>
      <w:pPr>
        <w:pStyle w:val="2"/>
        <w:spacing w:beforeLines="0"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5.社会保障和就业支出（类）其他社会保障和就业支出（款）其他社会保障和就业支出（项）:</w:t>
      </w:r>
      <w:r>
        <w:rPr>
          <w:rFonts w:hint="eastAsia" w:ascii="仿宋_GB2312" w:hAnsi="仿宋_GB2312" w:eastAsia="仿宋_GB2312" w:cs="仿宋_GB2312"/>
          <w:sz w:val="32"/>
          <w:szCs w:val="32"/>
        </w:rPr>
        <w:t>支出决算为0.62万元，完成预算100%，决算数等于预算数。</w:t>
      </w:r>
    </w:p>
    <w:p>
      <w:pPr>
        <w:pStyle w:val="2"/>
        <w:spacing w:beforeLines="0"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6.卫生健康支出（类）行政事业单位医疗（款）事业单位医疗（项）：</w:t>
      </w:r>
      <w:r>
        <w:rPr>
          <w:rFonts w:hint="eastAsia" w:ascii="仿宋_GB2312" w:hAnsi="仿宋_GB2312" w:eastAsia="仿宋_GB2312" w:cs="仿宋_GB2312"/>
          <w:sz w:val="32"/>
          <w:szCs w:val="32"/>
        </w:rPr>
        <w:t>支出决算为15.7万元，完成预算100%，决算数等于预算数。</w:t>
      </w:r>
    </w:p>
    <w:p>
      <w:pPr>
        <w:pStyle w:val="2"/>
        <w:spacing w:beforeLines="0"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7.住房保障支出（类）住房改革支出（款）住房公积金（项）：</w:t>
      </w:r>
      <w:r>
        <w:rPr>
          <w:rFonts w:hint="eastAsia" w:ascii="仿宋_GB2312" w:hAnsi="仿宋_GB2312" w:eastAsia="仿宋_GB2312" w:cs="仿宋_GB2312"/>
          <w:sz w:val="32"/>
          <w:szCs w:val="32"/>
        </w:rPr>
        <w:t>支出决算为12.93万元，完成预算93.02%，决算数小于预算数的主要原因是人员调出，与之相关的住房公积金支出比预期少。</w:t>
      </w:r>
    </w:p>
    <w:p>
      <w:pPr>
        <w:pStyle w:val="2"/>
        <w:spacing w:beforeLines="0"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8.住房保障支出（类）住房改革支出（款）购房补贴（项）：</w:t>
      </w:r>
      <w:r>
        <w:rPr>
          <w:rFonts w:hint="eastAsia" w:ascii="仿宋_GB2312" w:hAnsi="仿宋_GB2312" w:eastAsia="仿宋_GB2312" w:cs="仿宋_GB2312"/>
          <w:sz w:val="32"/>
          <w:szCs w:val="32"/>
        </w:rPr>
        <w:t>支出决算为3.49万元，完成预算100%，决算数等于预算数。</w:t>
      </w:r>
    </w:p>
    <w:p>
      <w:pPr>
        <w:pStyle w:val="4"/>
        <w:spacing w:before="0" w:after="0" w:line="600" w:lineRule="exact"/>
        <w:ind w:firstLine="640"/>
        <w:rPr>
          <w:rFonts w:hint="eastAsia"/>
        </w:rPr>
      </w:pPr>
      <w:bookmarkStart w:id="56" w:name="_Toc15396608"/>
      <w:bookmarkStart w:id="57" w:name="_Toc15377214"/>
      <w:bookmarkStart w:id="58" w:name="_Toc126"/>
      <w:r>
        <w:rPr>
          <w:rFonts w:hint="eastAsia"/>
        </w:rPr>
        <w:t>六、一般公共预算财政拨款基本支出决算情况说明</w:t>
      </w:r>
      <w:bookmarkEnd w:id="56"/>
      <w:bookmarkEnd w:id="57"/>
      <w:bookmarkEnd w:id="58"/>
      <w:r>
        <w:rPr>
          <w:rFonts w:hint="eastAsia"/>
        </w:rPr>
        <w:tab/>
      </w:r>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2020年一般公共预算财政拨款基本支出189.89万元，其中：</w:t>
      </w:r>
    </w:p>
    <w:p>
      <w:pPr>
        <w:pStyle w:val="2"/>
        <w:spacing w:beforeLines="0"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人员经费179.49万元，主要包括：基本工资、津贴补贴、绩效工资、机关事业单位基本养老保险缴费、职业年金缴费、职工基本医疗保险缴费、其他社会保障缴费、其他工资福利支出、奖励金、住房公积金、其他对个人和家庭的补助支出。</w:t>
      </w:r>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公用经费10.40万元，主要包括：办公费、水费、电费、工会经费、福利费、其他商品和服务支出。</w:t>
      </w:r>
    </w:p>
    <w:p>
      <w:pPr>
        <w:pStyle w:val="4"/>
        <w:spacing w:before="0" w:after="0" w:line="600" w:lineRule="exact"/>
        <w:ind w:firstLine="640"/>
      </w:pPr>
      <w:bookmarkStart w:id="59" w:name="_Toc15396609"/>
      <w:bookmarkStart w:id="60" w:name="_Toc15377215"/>
      <w:bookmarkStart w:id="61" w:name="_Toc21758"/>
      <w:r>
        <w:rPr>
          <w:rFonts w:hint="eastAsia"/>
        </w:rPr>
        <w:t>七、“三公”经费财政拨款支出决算情况说明</w:t>
      </w:r>
      <w:bookmarkEnd w:id="59"/>
      <w:bookmarkEnd w:id="60"/>
      <w:bookmarkEnd w:id="61"/>
    </w:p>
    <w:p>
      <w:pPr>
        <w:pStyle w:val="2"/>
        <w:spacing w:beforeLines="0" w:line="600" w:lineRule="exact"/>
        <w:ind w:firstLine="643" w:firstLineChars="200"/>
        <w:rPr>
          <w:rFonts w:hint="eastAsia" w:ascii="楷体_GB2312" w:hAnsi="楷体_GB2312" w:eastAsia="楷体_GB2312" w:cs="楷体_GB2312"/>
          <w:b/>
          <w:sz w:val="32"/>
          <w:szCs w:val="32"/>
        </w:rPr>
      </w:pPr>
      <w:bookmarkStart w:id="62" w:name="_Toc80874591"/>
      <w:bookmarkStart w:id="63" w:name="_Toc15377216"/>
      <w:r>
        <w:rPr>
          <w:rFonts w:hint="eastAsia" w:ascii="楷体_GB2312" w:hAnsi="楷体_GB2312" w:eastAsia="楷体_GB2312" w:cs="楷体_GB2312"/>
          <w:b/>
          <w:sz w:val="32"/>
          <w:szCs w:val="32"/>
        </w:rPr>
        <w:t>（一）“三公”经费财政拨款支出决算总体情况说明</w:t>
      </w:r>
      <w:bookmarkEnd w:id="62"/>
      <w:bookmarkEnd w:id="63"/>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2020年“三公”经费财政拨款支出决算为0万元，完成预算</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0%，决算数与预算数持平。</w:t>
      </w:r>
    </w:p>
    <w:p>
      <w:pPr>
        <w:pStyle w:val="2"/>
        <w:spacing w:beforeLines="0" w:line="600" w:lineRule="exact"/>
        <w:ind w:firstLine="643" w:firstLineChars="200"/>
        <w:rPr>
          <w:rFonts w:hint="eastAsia" w:ascii="楷体_GB2312" w:hAnsi="楷体_GB2312" w:eastAsia="楷体_GB2312" w:cs="楷体_GB2312"/>
          <w:b/>
          <w:sz w:val="32"/>
          <w:szCs w:val="32"/>
        </w:rPr>
      </w:pPr>
      <w:bookmarkStart w:id="64" w:name="_Toc80874592"/>
      <w:bookmarkStart w:id="65" w:name="_Toc15377217"/>
      <w:r>
        <w:rPr>
          <w:rFonts w:hint="eastAsia" w:ascii="楷体_GB2312" w:hAnsi="楷体_GB2312" w:eastAsia="楷体_GB2312" w:cs="楷体_GB2312"/>
          <w:b/>
          <w:sz w:val="32"/>
          <w:szCs w:val="32"/>
        </w:rPr>
        <w:t>（二）“三公”经费财政拨款支出决算具体情况说明</w:t>
      </w:r>
      <w:bookmarkEnd w:id="64"/>
      <w:bookmarkEnd w:id="65"/>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2020年“三公”经费财政拨款支出决算中，因公出国（境）费支出决算0万元，占0%；公务用车购置及运行维护费支出决算0万元，占0%；公务接待费支出决算0万元，占0%。具体情况如下：</w:t>
      </w:r>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（图7：“三公”经费财政拨款支出结构）（饼状图）</w:t>
      </w:r>
    </w:p>
    <w:p>
      <w:pPr>
        <w:pStyle w:val="2"/>
        <w:spacing w:before="93"/>
        <w:rPr>
          <w:rFonts w:asciiTheme="minorHAnsi" w:hAnsiTheme="minorHAnsi"/>
        </w:rPr>
      </w:pPr>
      <w:r>
        <w:drawing>
          <wp:inline distT="0" distB="0" distL="0" distR="0">
            <wp:extent cx="5274310" cy="3076575"/>
            <wp:effectExtent l="19050" t="0" r="2159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2"/>
        <w:spacing w:beforeLines="0"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1.因公出国（境）经费支出</w:t>
      </w:r>
      <w:r>
        <w:rPr>
          <w:rFonts w:hint="eastAsia" w:ascii="仿宋_GB2312" w:hAnsi="仿宋_GB2312" w:eastAsia="仿宋_GB2312" w:cs="仿宋_GB2312"/>
          <w:sz w:val="32"/>
          <w:szCs w:val="32"/>
        </w:rPr>
        <w:t>0万元，</w:t>
      </w:r>
      <w:r>
        <w:rPr>
          <w:rFonts w:hint="eastAsia" w:ascii="仿宋_GB2312" w:hAnsi="仿宋_GB2312" w:eastAsia="仿宋_GB2312" w:cs="仿宋_GB2312"/>
        </w:rPr>
        <w:t>完成预算</w:t>
      </w:r>
      <w:r>
        <w:rPr>
          <w:rFonts w:hint="eastAsia" w:ascii="仿宋_GB2312" w:hAnsi="仿宋_GB2312" w:eastAsia="仿宋_GB2312" w:cs="仿宋_GB2312"/>
          <w:lang w:val="en-US" w:eastAsia="zh-CN"/>
        </w:rPr>
        <w:t>10</w:t>
      </w:r>
      <w:r>
        <w:rPr>
          <w:rFonts w:hint="eastAsia" w:ascii="仿宋_GB2312" w:hAnsi="仿宋_GB2312" w:eastAsia="仿宋_GB2312" w:cs="仿宋_GB2312"/>
        </w:rPr>
        <w:t>0%。</w:t>
      </w:r>
      <w:r>
        <w:rPr>
          <w:rFonts w:hint="eastAsia" w:ascii="仿宋_GB2312" w:hAnsi="仿宋_GB2312" w:eastAsia="仿宋_GB2312" w:cs="仿宋_GB2312"/>
          <w:sz w:val="32"/>
          <w:szCs w:val="32"/>
        </w:rPr>
        <w:t>全年安排因公出国（境）团组0次，出国（境）0人。因公出国（境）支出决算与2019年持平。</w:t>
      </w:r>
    </w:p>
    <w:p>
      <w:pPr>
        <w:pStyle w:val="2"/>
        <w:spacing w:beforeLines="0"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2.公务用车购置及运行维护费支出</w:t>
      </w:r>
      <w:r>
        <w:rPr>
          <w:rFonts w:hint="eastAsia" w:ascii="仿宋_GB2312" w:hAnsi="仿宋_GB2312" w:eastAsia="仿宋_GB2312" w:cs="仿宋_GB2312"/>
          <w:sz w:val="32"/>
          <w:szCs w:val="32"/>
        </w:rPr>
        <w:t>0万元,</w:t>
      </w:r>
      <w:r>
        <w:rPr>
          <w:rFonts w:hint="eastAsia" w:ascii="仿宋_GB2312" w:hAnsi="仿宋_GB2312" w:eastAsia="仿宋_GB2312" w:cs="仿宋_GB2312"/>
        </w:rPr>
        <w:t>完成预算</w:t>
      </w:r>
      <w:r>
        <w:rPr>
          <w:rFonts w:hint="eastAsia" w:ascii="仿宋_GB2312" w:hAnsi="仿宋_GB2312" w:eastAsia="仿宋_GB2312" w:cs="仿宋_GB2312"/>
          <w:lang w:val="en-US" w:eastAsia="zh-CN"/>
        </w:rPr>
        <w:t>10</w:t>
      </w:r>
      <w:r>
        <w:rPr>
          <w:rFonts w:hint="eastAsia" w:ascii="仿宋_GB2312" w:hAnsi="仿宋_GB2312" w:eastAsia="仿宋_GB2312" w:cs="仿宋_GB2312"/>
        </w:rPr>
        <w:t>0%。</w:t>
      </w:r>
      <w:r>
        <w:rPr>
          <w:rFonts w:hint="eastAsia" w:ascii="仿宋_GB2312" w:hAnsi="仿宋_GB2312" w:eastAsia="仿宋_GB2312" w:cs="仿宋_GB2312"/>
          <w:sz w:val="32"/>
          <w:szCs w:val="32"/>
        </w:rPr>
        <w:t>公务用车购置及运行维护费支出决算与2019年持平。</w:t>
      </w:r>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w:t>
      </w:r>
      <w:r>
        <w:rPr>
          <w:rFonts w:hint="eastAsia" w:ascii="仿宋_GB2312" w:hAnsi="仿宋_GB2312" w:eastAsia="仿宋_GB2312" w:cs="仿宋_GB2312"/>
          <w:b/>
          <w:sz w:val="32"/>
          <w:szCs w:val="32"/>
        </w:rPr>
        <w:t>公务用车购置支出</w:t>
      </w:r>
      <w:r>
        <w:rPr>
          <w:rFonts w:hint="eastAsia" w:ascii="仿宋_GB2312" w:hAnsi="仿宋_GB2312" w:eastAsia="仿宋_GB2312" w:cs="仿宋_GB2312"/>
          <w:sz w:val="32"/>
          <w:szCs w:val="32"/>
        </w:rPr>
        <w:t>0万元。全年按规定更新购置公务用车0辆，其中：轿车0辆、金额0万元，越野车0辆、金额0万元，载客汽车0辆、金额0万元。截至2020年12月底，单位共有公务用车0辆，其中：轿车0辆、越野车0辆、载客汽车0辆。</w:t>
      </w:r>
    </w:p>
    <w:p>
      <w:pPr>
        <w:pStyle w:val="2"/>
        <w:spacing w:beforeLines="0"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公务用车运行维护费支出</w:t>
      </w:r>
      <w:r>
        <w:rPr>
          <w:rFonts w:hint="eastAsia" w:ascii="仿宋_GB2312" w:hAnsi="仿宋_GB2312" w:eastAsia="仿宋_GB2312" w:cs="仿宋_GB2312"/>
          <w:sz w:val="32"/>
          <w:szCs w:val="32"/>
        </w:rPr>
        <w:t>0万元。</w:t>
      </w:r>
    </w:p>
    <w:p>
      <w:pPr>
        <w:pStyle w:val="2"/>
        <w:spacing w:beforeLines="0"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3.公务接待费支出</w:t>
      </w:r>
      <w:r>
        <w:rPr>
          <w:rFonts w:hint="eastAsia" w:ascii="仿宋_GB2312" w:hAnsi="仿宋_GB2312" w:eastAsia="仿宋_GB2312" w:cs="仿宋_GB2312"/>
          <w:sz w:val="32"/>
          <w:szCs w:val="32"/>
        </w:rPr>
        <w:t>0万元，</w:t>
      </w:r>
      <w:r>
        <w:rPr>
          <w:rFonts w:hint="eastAsia" w:ascii="仿宋_GB2312" w:hAnsi="仿宋_GB2312" w:eastAsia="仿宋_GB2312" w:cs="仿宋_GB2312"/>
        </w:rPr>
        <w:t>完成预算</w:t>
      </w:r>
      <w:r>
        <w:rPr>
          <w:rFonts w:hint="eastAsia" w:ascii="仿宋_GB2312" w:hAnsi="仿宋_GB2312" w:eastAsia="仿宋_GB2312" w:cs="仿宋_GB2312"/>
          <w:lang w:val="en-US" w:eastAsia="zh-CN"/>
        </w:rPr>
        <w:t>10</w:t>
      </w:r>
      <w:r>
        <w:rPr>
          <w:rFonts w:hint="eastAsia" w:ascii="仿宋_GB2312" w:hAnsi="仿宋_GB2312" w:eastAsia="仿宋_GB2312" w:cs="仿宋_GB2312"/>
        </w:rPr>
        <w:t>0%。</w:t>
      </w:r>
      <w:r>
        <w:rPr>
          <w:rFonts w:hint="eastAsia" w:ascii="仿宋_GB2312" w:hAnsi="仿宋_GB2312" w:eastAsia="仿宋_GB2312" w:cs="仿宋_GB2312"/>
          <w:sz w:val="32"/>
          <w:szCs w:val="32"/>
        </w:rPr>
        <w:t>公务接待费支出决算比2019年减少0.03万元，下降100%。主要原因是2020年度受疫情影响，尽可能减少或避免接待活动。其中：</w:t>
      </w:r>
    </w:p>
    <w:p>
      <w:pPr>
        <w:pStyle w:val="2"/>
        <w:spacing w:beforeLines="0"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国内公务接待支出</w:t>
      </w:r>
      <w:r>
        <w:rPr>
          <w:rFonts w:hint="eastAsia" w:ascii="仿宋_GB2312" w:hAnsi="仿宋_GB2312" w:eastAsia="仿宋_GB2312" w:cs="仿宋_GB2312"/>
          <w:sz w:val="32"/>
          <w:szCs w:val="32"/>
        </w:rPr>
        <w:t>0万元。国内公务接待0批次，0人次（不包括陪同人员），共计支出0万元。</w:t>
      </w:r>
    </w:p>
    <w:p>
      <w:pPr>
        <w:pStyle w:val="2"/>
        <w:spacing w:beforeLines="0" w:line="60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外事接待支出</w:t>
      </w:r>
      <w:r>
        <w:rPr>
          <w:rFonts w:hint="eastAsia" w:ascii="仿宋_GB2312" w:hAnsi="仿宋_GB2312" w:eastAsia="仿宋_GB2312" w:cs="仿宋_GB2312"/>
          <w:sz w:val="32"/>
          <w:szCs w:val="32"/>
        </w:rPr>
        <w:t>0万元，外事接待0批次，0人，共计支出0万元。</w:t>
      </w:r>
      <w:bookmarkStart w:id="66" w:name="_Toc15377218"/>
      <w:bookmarkStart w:id="67" w:name="_Toc15396610"/>
    </w:p>
    <w:p>
      <w:pPr>
        <w:pStyle w:val="4"/>
        <w:spacing w:before="0" w:after="0" w:line="600" w:lineRule="exact"/>
        <w:ind w:firstLine="640"/>
      </w:pPr>
      <w:bookmarkStart w:id="68" w:name="_Toc7735"/>
      <w:r>
        <w:rPr>
          <w:rFonts w:hint="eastAsia"/>
        </w:rPr>
        <w:t>八、政府性基金预算支出决算情况说明</w:t>
      </w:r>
      <w:bookmarkEnd w:id="66"/>
      <w:bookmarkEnd w:id="67"/>
      <w:bookmarkEnd w:id="68"/>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2020年政府性基金预算财政拨款支出0万元。</w:t>
      </w:r>
    </w:p>
    <w:p>
      <w:pPr>
        <w:pStyle w:val="4"/>
        <w:spacing w:before="0" w:after="0" w:line="600" w:lineRule="exact"/>
        <w:ind w:firstLine="640"/>
      </w:pPr>
      <w:bookmarkStart w:id="69" w:name="_Toc15396611"/>
      <w:bookmarkStart w:id="70" w:name="_Toc15377219"/>
      <w:bookmarkStart w:id="71" w:name="_Toc4689"/>
      <w:r>
        <w:rPr>
          <w:rFonts w:hint="eastAsia"/>
        </w:rPr>
        <w:t>九、国有资本经营预算支出决算情况说明</w:t>
      </w:r>
      <w:bookmarkEnd w:id="69"/>
      <w:bookmarkEnd w:id="70"/>
      <w:bookmarkEnd w:id="71"/>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2020年国有资本经营预算财政拨款支出0万元。</w:t>
      </w:r>
    </w:p>
    <w:p>
      <w:pPr>
        <w:pStyle w:val="4"/>
        <w:spacing w:before="0" w:after="0" w:line="600" w:lineRule="exact"/>
        <w:ind w:firstLine="640"/>
      </w:pPr>
      <w:bookmarkStart w:id="72" w:name="_Toc15396612"/>
      <w:bookmarkStart w:id="73" w:name="_Toc15377221"/>
      <w:bookmarkStart w:id="74" w:name="_Toc6878"/>
      <w:r>
        <w:rPr>
          <w:rFonts w:hint="eastAsia"/>
        </w:rPr>
        <w:t>十、其他重要事项的情况说明</w:t>
      </w:r>
      <w:bookmarkEnd w:id="72"/>
      <w:bookmarkEnd w:id="73"/>
      <w:bookmarkEnd w:id="74"/>
    </w:p>
    <w:p>
      <w:pPr>
        <w:pStyle w:val="2"/>
        <w:spacing w:beforeLines="0" w:line="600" w:lineRule="exact"/>
        <w:ind w:firstLine="643" w:firstLineChars="200"/>
        <w:rPr>
          <w:rFonts w:hint="eastAsia" w:ascii="楷体_GB2312" w:hAnsi="楷体_GB2312" w:eastAsia="楷体_GB2312" w:cs="楷体_GB2312"/>
          <w:b/>
          <w:sz w:val="32"/>
          <w:szCs w:val="32"/>
        </w:rPr>
      </w:pPr>
      <w:bookmarkStart w:id="75" w:name="_Toc15377222"/>
      <w:bookmarkStart w:id="76" w:name="_Toc80874596"/>
      <w:r>
        <w:rPr>
          <w:rFonts w:hint="eastAsia" w:ascii="楷体_GB2312" w:hAnsi="楷体_GB2312" w:eastAsia="楷体_GB2312" w:cs="楷体_GB2312"/>
          <w:b/>
          <w:sz w:val="32"/>
          <w:szCs w:val="32"/>
        </w:rPr>
        <w:t>（一）机关运行经费支出情况</w:t>
      </w:r>
      <w:bookmarkEnd w:id="75"/>
      <w:bookmarkEnd w:id="76"/>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四川省国际经济贸易研究所为事业单位，无机关运行费。</w:t>
      </w:r>
    </w:p>
    <w:p>
      <w:pPr>
        <w:pStyle w:val="2"/>
        <w:spacing w:beforeLines="0" w:line="600" w:lineRule="exact"/>
        <w:ind w:firstLine="643" w:firstLineChars="200"/>
        <w:rPr>
          <w:rFonts w:hint="eastAsia" w:ascii="楷体_GB2312" w:hAnsi="楷体_GB2312" w:eastAsia="楷体_GB2312" w:cs="楷体_GB2312"/>
          <w:b/>
          <w:sz w:val="32"/>
          <w:szCs w:val="32"/>
        </w:rPr>
      </w:pPr>
      <w:bookmarkStart w:id="77" w:name="_Toc80874597"/>
      <w:bookmarkStart w:id="78" w:name="_Toc15377223"/>
      <w:r>
        <w:rPr>
          <w:rFonts w:hint="eastAsia" w:ascii="楷体_GB2312" w:hAnsi="楷体_GB2312" w:eastAsia="楷体_GB2312" w:cs="楷体_GB2312"/>
          <w:b/>
          <w:sz w:val="32"/>
          <w:szCs w:val="32"/>
        </w:rPr>
        <w:t>（二）政府采购支出情况</w:t>
      </w:r>
      <w:bookmarkEnd w:id="77"/>
      <w:bookmarkEnd w:id="78"/>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pStyle w:val="2"/>
        <w:spacing w:beforeLines="0" w:line="600" w:lineRule="exact"/>
        <w:ind w:firstLine="643" w:firstLineChars="200"/>
        <w:rPr>
          <w:rFonts w:hint="eastAsia" w:ascii="楷体_GB2312" w:hAnsi="楷体_GB2312" w:eastAsia="楷体_GB2312" w:cs="楷体_GB2312"/>
          <w:b/>
          <w:sz w:val="32"/>
          <w:szCs w:val="32"/>
        </w:rPr>
      </w:pPr>
      <w:bookmarkStart w:id="79" w:name="_Toc80874598"/>
      <w:bookmarkStart w:id="80" w:name="_Toc15377224"/>
      <w:r>
        <w:rPr>
          <w:rFonts w:hint="eastAsia" w:ascii="楷体_GB2312" w:hAnsi="楷体_GB2312" w:eastAsia="楷体_GB2312" w:cs="楷体_GB2312"/>
          <w:b/>
          <w:sz w:val="32"/>
          <w:szCs w:val="32"/>
        </w:rPr>
        <w:t>（三）国有资产占有使用情况</w:t>
      </w:r>
      <w:bookmarkEnd w:id="79"/>
      <w:bookmarkEnd w:id="80"/>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截至2020年12月31日，共有车辆0辆，其中：主要领导干部用车0辆、机要通信用车0辆、应急保障用车0辆、其他用车0辆。单价50万元以上通用设备0台（套），单价100万元以上专用设备0台（套）。</w:t>
      </w:r>
    </w:p>
    <w:p>
      <w:pPr>
        <w:pStyle w:val="2"/>
        <w:spacing w:beforeLines="0" w:line="600" w:lineRule="exact"/>
        <w:ind w:firstLine="643" w:firstLineChars="200"/>
        <w:rPr>
          <w:rFonts w:hint="eastAsia" w:ascii="楷体_GB2312" w:hAnsi="楷体_GB2312" w:eastAsia="楷体_GB2312" w:cs="楷体_GB2312"/>
          <w:b/>
          <w:sz w:val="32"/>
          <w:szCs w:val="32"/>
        </w:rPr>
      </w:pPr>
      <w:bookmarkStart w:id="81" w:name="_Toc80874599"/>
      <w:r>
        <w:rPr>
          <w:rFonts w:hint="eastAsia" w:ascii="楷体_GB2312" w:hAnsi="楷体_GB2312" w:eastAsia="楷体_GB2312" w:cs="楷体_GB2312"/>
          <w:b/>
          <w:sz w:val="32"/>
          <w:szCs w:val="32"/>
        </w:rPr>
        <w:t>（四）预算绩效管理情况</w:t>
      </w:r>
      <w:bookmarkEnd w:id="81"/>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2020年度预算编制阶段，组织对项目支出开展了预算事前绩效评估，对8个项目编制了绩效目标，预算执行过程中，选取5个项目开展绩效监控，年终执行完毕后，对5个项目开展了绩效目标完成情况自评。</w:t>
      </w:r>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按要求对2020年整体支出开展绩效自评，从评价情况来看我所严格按照政策和社会发展要求制定目标任务，将工作任务分工落实到每一项细则上，进行细化、量化，制定目标任务时，总结历史经验，结合当年实际，进行科学论证，保障目标任务按质按量完成。</w:t>
      </w:r>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我所按照国家行政事业单位相关支出标准，结合当年制定的工作任务，合理安排基本支出与项目支出，及时上报预算结果，根据上级主管单位的相关要求合理调整，及时报送，保证预算数据的可执行性。</w:t>
      </w:r>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所在制定预算时已将全年可能发生的工作安排及变动考虑在内，年中时，对已执行预算进行总结，对未执行预算再次核实，若有突发事件或未预测到事件，根据相关变化，及时进行中期调整，提交主管部门审核。</w:t>
      </w:r>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除差旅费、物业管理费、水费因疫情及办公地变动影响执行进度不如预期外，其余指标全年预算执行情况较好。全年总收入2302674.72元，总支出2302574.72元，做到了收支平衡。</w:t>
      </w:r>
    </w:p>
    <w:p>
      <w:pPr>
        <w:pStyle w:val="2"/>
        <w:spacing w:beforeLines="0" w:line="60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1.项目绩效目标完成情况</w:t>
      </w:r>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本单位在2020年度部门决算中反映“公务接待费””其他交通费用”“业务经费”等5个项目绩效目标实际完成情况。</w:t>
      </w:r>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（1）公务接待费项目绩效目标完成情况综述。项目全年预算数0.3万元，执行数为0万元，完成预算的0%。受疫情影响，本年度未安排公务接待活动。</w:t>
      </w:r>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交通费用项目绩效目标完成情况综述。项目全年预算数4万元，执行数为3.71万元，完成预算的92.75%。通过项目实施，保障了单位调研工作的正常进行，发现的主要问题：在交通费用的报销过程中存在票据不合规的情况。下一步改进措施：加强对单位人员交通费报销流程及手续的培训。</w:t>
      </w:r>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业务经费项目绩效目标完成情况综述。项目全年预算数10.53万元，执行数为10.46万元，完成预算的99.34%。通过项目实施，提高了单位调研工作成效，发现的主要问题：业务经费的各项开支没有归集到具体的科目进行核算，不利于日后核查。下一步改进措施：将业务经费的各项开支归集到具体的科目，以便日后核查。</w:t>
      </w:r>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租赁费项目绩效目标完成情况综述。项目全年预算数13万元，执行数为12.08万元，完成预算的92.92%。通过项目实施，为单位工作提供了后勤保障，发现的主要问题：该合同业务标的过高，加重了单位的成本开支。下一步改进措施：积极联系其他出租方，尽可能降低租赁费支出。</w:t>
      </w:r>
    </w:p>
    <w:p>
      <w:pPr>
        <w:pStyle w:val="2"/>
        <w:spacing w:beforeLines="0"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物业管理费项目绩效目标完成情况综述。项目全年预算数10万元，执行数为5.81万元，完成预算的58.1%。通过项目实施，为单位工作提供了后勤保障，发现的主要问题：因办公地址搬迁，原办公地址的物管费暂定支付，造成本项目的执行进度缓慢。下一步改进措施：以新办公地址的实际物管费为基础来编制来年的预算。</w:t>
      </w:r>
    </w:p>
    <w:p>
      <w:pPr>
        <w:pStyle w:val="2"/>
        <w:spacing w:before="93"/>
        <w:ind w:firstLine="600"/>
        <w:rPr>
          <w:rFonts w:cs="仿宋_GB2312" w:asciiTheme="minorEastAsia" w:hAnsiTheme="minorEastAsia" w:eastAsiaTheme="minorEastAsia"/>
          <w:sz w:val="32"/>
          <w:szCs w:val="32"/>
        </w:rPr>
      </w:pPr>
    </w:p>
    <w:p>
      <w:pPr>
        <w:spacing w:line="580" w:lineRule="exact"/>
        <w:ind w:firstLine="640" w:firstLineChars="200"/>
        <w:rPr>
          <w:rFonts w:cs="仿宋_GB2312" w:asciiTheme="minorEastAsia" w:hAnsiTheme="minorEastAsia" w:eastAsiaTheme="minorEastAsia"/>
          <w:sz w:val="32"/>
          <w:szCs w:val="32"/>
        </w:rPr>
      </w:pPr>
    </w:p>
    <w:p>
      <w:pPr>
        <w:spacing w:line="580" w:lineRule="exact"/>
        <w:ind w:firstLine="640" w:firstLineChars="200"/>
        <w:rPr>
          <w:rFonts w:cs="仿宋_GB2312" w:asciiTheme="minorEastAsia" w:hAnsiTheme="minorEastAsia" w:eastAsiaTheme="minorEastAsia"/>
          <w:sz w:val="32"/>
          <w:szCs w:val="32"/>
        </w:rPr>
      </w:pPr>
    </w:p>
    <w:p>
      <w:pPr>
        <w:spacing w:line="580" w:lineRule="exact"/>
        <w:ind w:firstLine="640" w:firstLineChars="200"/>
        <w:rPr>
          <w:rFonts w:cs="仿宋_GB2312" w:asciiTheme="minorEastAsia" w:hAnsiTheme="minorEastAsia" w:eastAsiaTheme="minorEastAsia"/>
          <w:sz w:val="32"/>
          <w:szCs w:val="32"/>
        </w:rPr>
      </w:pPr>
    </w:p>
    <w:p>
      <w:pPr>
        <w:spacing w:line="580" w:lineRule="exact"/>
        <w:ind w:firstLine="640" w:firstLineChars="200"/>
        <w:rPr>
          <w:rFonts w:cs="仿宋_GB2312" w:asciiTheme="minorEastAsia" w:hAnsiTheme="minorEastAsia" w:eastAsiaTheme="minorEastAsia"/>
          <w:sz w:val="32"/>
          <w:szCs w:val="32"/>
        </w:rPr>
      </w:pPr>
    </w:p>
    <w:p>
      <w:pPr>
        <w:spacing w:line="580" w:lineRule="exact"/>
        <w:ind w:firstLine="640" w:firstLineChars="200"/>
        <w:rPr>
          <w:rFonts w:cs="仿宋_GB2312" w:asciiTheme="minorEastAsia" w:hAnsiTheme="minorEastAsia" w:eastAsiaTheme="minorEastAsia"/>
          <w:sz w:val="32"/>
          <w:szCs w:val="32"/>
        </w:rPr>
      </w:pPr>
    </w:p>
    <w:p>
      <w:pPr>
        <w:spacing w:line="580" w:lineRule="exact"/>
        <w:ind w:firstLine="640" w:firstLineChars="200"/>
        <w:rPr>
          <w:rFonts w:cs="仿宋_GB2312"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530"/>
        <w:gridCol w:w="122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kern w:val="0"/>
                <w:sz w:val="36"/>
                <w:szCs w:val="36"/>
                <w:lang w:eastAsia="zh-CN"/>
              </w:rPr>
            </w:pPr>
            <w:r>
              <w:rPr>
                <w:rFonts w:hint="eastAsia" w:ascii="宋体" w:hAnsi="宋体" w:cs="宋体"/>
                <w:b/>
                <w:bCs/>
                <w:kern w:val="0"/>
                <w:sz w:val="36"/>
                <w:szCs w:val="36"/>
              </w:rPr>
              <w:t>项目绩效目标完成情况表</w:t>
            </w:r>
          </w:p>
          <w:p>
            <w:pPr>
              <w:widowControl/>
              <w:jc w:val="center"/>
              <w:textAlignment w:val="center"/>
              <w:rPr>
                <w:rFonts w:cs="宋体" w:asciiTheme="minorEastAsia" w:hAnsiTheme="minorEastAsia" w:eastAsiaTheme="minorEastAsia"/>
                <w:sz w:val="24"/>
                <w:szCs w:val="30"/>
              </w:rPr>
            </w:pPr>
            <w:r>
              <w:rPr>
                <w:rFonts w:hint="eastAsia" w:ascii="宋体" w:hAnsi="宋体" w:cs="宋体"/>
                <w:kern w:val="0"/>
                <w:sz w:val="36"/>
                <w:szCs w:val="36"/>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kern w:val="0"/>
                <w:sz w:val="24"/>
                <w:szCs w:val="30"/>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sz w:val="24"/>
                <w:szCs w:val="30"/>
              </w:rPr>
              <w:t>公务接待</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kern w:val="0"/>
                <w:sz w:val="24"/>
                <w:szCs w:val="30"/>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sz w:val="24"/>
                <w:szCs w:val="30"/>
              </w:rPr>
              <w:t>四川省国际经济贸易研究所</w:t>
            </w:r>
          </w:p>
        </w:tc>
      </w:tr>
      <w:tr>
        <w:tblPrEx>
          <w:tblCellMar>
            <w:top w:w="0" w:type="dxa"/>
            <w:left w:w="0" w:type="dxa"/>
            <w:bottom w:w="0" w:type="dxa"/>
            <w:right w:w="0" w:type="dxa"/>
          </w:tblCellMar>
        </w:tblPrEx>
        <w:trPr>
          <w:trHeight w:val="276" w:hRule="atLeast"/>
          <w:jc w:val="center"/>
        </w:trPr>
        <w:tc>
          <w:tcPr>
            <w:tcW w:w="5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kern w:val="0"/>
                <w:sz w:val="24"/>
                <w:szCs w:val="30"/>
              </w:rPr>
              <w:t>预算执行情况(万元)</w:t>
            </w:r>
          </w:p>
        </w:tc>
        <w:tc>
          <w:tcPr>
            <w:tcW w:w="22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kern w:val="0"/>
                <w:sz w:val="24"/>
                <w:szCs w:val="30"/>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sz w:val="24"/>
                <w:szCs w:val="30"/>
              </w:rPr>
              <w:t>0.3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kern w:val="0"/>
                <w:sz w:val="24"/>
                <w:szCs w:val="30"/>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sz w:val="24"/>
                <w:szCs w:val="30"/>
              </w:rPr>
              <w:t>0</w:t>
            </w:r>
          </w:p>
        </w:tc>
      </w:tr>
      <w:tr>
        <w:tblPrEx>
          <w:tblCellMar>
            <w:top w:w="0" w:type="dxa"/>
            <w:left w:w="0" w:type="dxa"/>
            <w:bottom w:w="0" w:type="dxa"/>
            <w:right w:w="0" w:type="dxa"/>
          </w:tblCellMar>
        </w:tblPrEx>
        <w:trPr>
          <w:trHeight w:val="276"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30"/>
              </w:rPr>
            </w:pPr>
          </w:p>
        </w:tc>
        <w:tc>
          <w:tcPr>
            <w:tcW w:w="22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kern w:val="0"/>
                <w:sz w:val="24"/>
                <w:szCs w:val="3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sz w:val="24"/>
                <w:szCs w:val="30"/>
              </w:rPr>
              <w:t>0.3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kern w:val="0"/>
                <w:sz w:val="24"/>
                <w:szCs w:val="30"/>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sz w:val="24"/>
                <w:szCs w:val="30"/>
              </w:rPr>
              <w:t>0</w:t>
            </w:r>
          </w:p>
        </w:tc>
      </w:tr>
      <w:tr>
        <w:tblPrEx>
          <w:tblCellMar>
            <w:top w:w="0" w:type="dxa"/>
            <w:left w:w="0" w:type="dxa"/>
            <w:bottom w:w="0" w:type="dxa"/>
            <w:right w:w="0" w:type="dxa"/>
          </w:tblCellMar>
        </w:tblPrEx>
        <w:trPr>
          <w:trHeight w:val="1511"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30"/>
              </w:rPr>
            </w:pPr>
          </w:p>
        </w:tc>
        <w:tc>
          <w:tcPr>
            <w:tcW w:w="22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kern w:val="0"/>
                <w:sz w:val="24"/>
                <w:szCs w:val="3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sz w:val="24"/>
                <w:szCs w:val="30"/>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kern w:val="0"/>
                <w:sz w:val="24"/>
                <w:szCs w:val="30"/>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30"/>
              </w:rPr>
            </w:pPr>
            <w:r>
              <w:rPr>
                <w:rFonts w:hint="eastAsia" w:ascii="宋体" w:hAnsi="宋体" w:cs="宋体"/>
                <w:sz w:val="24"/>
                <w:szCs w:val="30"/>
              </w:rPr>
              <w:t>0</w:t>
            </w:r>
          </w:p>
        </w:tc>
      </w:tr>
      <w:tr>
        <w:tblPrEx>
          <w:tblCellMar>
            <w:top w:w="0" w:type="dxa"/>
            <w:left w:w="0" w:type="dxa"/>
            <w:bottom w:w="0" w:type="dxa"/>
            <w:right w:w="0" w:type="dxa"/>
          </w:tblCellMar>
        </w:tblPrEx>
        <w:trPr>
          <w:trHeight w:val="276" w:hRule="atLeast"/>
          <w:jc w:val="center"/>
        </w:trPr>
        <w:tc>
          <w:tcPr>
            <w:tcW w:w="5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kern w:val="0"/>
                <w:sz w:val="24"/>
                <w:szCs w:val="30"/>
              </w:rPr>
              <w:t>年度目标完成情况</w:t>
            </w:r>
          </w:p>
        </w:tc>
        <w:tc>
          <w:tcPr>
            <w:tcW w:w="464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kern w:val="0"/>
                <w:sz w:val="24"/>
                <w:szCs w:val="30"/>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kern w:val="0"/>
                <w:sz w:val="24"/>
                <w:szCs w:val="30"/>
              </w:rPr>
              <w:t>实际完成目标</w:t>
            </w:r>
          </w:p>
        </w:tc>
      </w:tr>
      <w:tr>
        <w:tblPrEx>
          <w:tblCellMar>
            <w:top w:w="0" w:type="dxa"/>
            <w:left w:w="0" w:type="dxa"/>
            <w:bottom w:w="0" w:type="dxa"/>
            <w:right w:w="0" w:type="dxa"/>
          </w:tblCellMar>
        </w:tblPrEx>
        <w:trPr>
          <w:trHeight w:val="1159" w:hRule="atLeast"/>
          <w:jc w:val="center"/>
        </w:trPr>
        <w:tc>
          <w:tcPr>
            <w:tcW w:w="5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30"/>
              </w:rPr>
            </w:pPr>
          </w:p>
        </w:tc>
        <w:tc>
          <w:tcPr>
            <w:tcW w:w="464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sz w:val="24"/>
                <w:szCs w:val="30"/>
              </w:rPr>
              <w:t>完成2020年的公务接待活动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sz w:val="24"/>
                <w:szCs w:val="30"/>
              </w:rPr>
              <w:t>2020年因疫情原因，无公务接待事项</w:t>
            </w:r>
          </w:p>
        </w:tc>
      </w:tr>
      <w:tr>
        <w:tblPrEx>
          <w:tblCellMar>
            <w:top w:w="0" w:type="dxa"/>
            <w:left w:w="0" w:type="dxa"/>
            <w:bottom w:w="0" w:type="dxa"/>
            <w:right w:w="0" w:type="dxa"/>
          </w:tblCellMar>
        </w:tblPrEx>
        <w:trPr>
          <w:trHeight w:val="1042" w:hRule="atLeast"/>
          <w:jc w:val="center"/>
        </w:trPr>
        <w:tc>
          <w:tcPr>
            <w:tcW w:w="53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sz w:val="24"/>
                <w:szCs w:val="30"/>
              </w:rPr>
              <w:t>绩效指标完成情况</w:t>
            </w:r>
          </w:p>
        </w:tc>
        <w:tc>
          <w:tcPr>
            <w:tcW w:w="12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kern w:val="0"/>
                <w:sz w:val="24"/>
                <w:szCs w:val="30"/>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kern w:val="0"/>
                <w:sz w:val="24"/>
                <w:szCs w:val="30"/>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kern w:val="0"/>
                <w:sz w:val="24"/>
                <w:szCs w:val="30"/>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kern w:val="0"/>
                <w:sz w:val="24"/>
                <w:szCs w:val="30"/>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kern w:val="0"/>
                <w:sz w:val="24"/>
                <w:szCs w:val="30"/>
              </w:rPr>
              <w:t>实际完成指标值(包含数字及文字描述)</w:t>
            </w:r>
          </w:p>
        </w:tc>
      </w:tr>
      <w:tr>
        <w:tblPrEx>
          <w:tblCellMar>
            <w:top w:w="0" w:type="dxa"/>
            <w:left w:w="0" w:type="dxa"/>
            <w:bottom w:w="0" w:type="dxa"/>
            <w:right w:w="0" w:type="dxa"/>
          </w:tblCellMar>
        </w:tblPrEx>
        <w:trPr>
          <w:trHeight w:val="953" w:hRule="atLeast"/>
          <w:jc w:val="center"/>
        </w:trPr>
        <w:tc>
          <w:tcPr>
            <w:tcW w:w="53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p>
        </w:tc>
        <w:tc>
          <w:tcPr>
            <w:tcW w:w="12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kern w:val="0"/>
                <w:sz w:val="24"/>
                <w:szCs w:val="30"/>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sz w:val="24"/>
                <w:szCs w:val="30"/>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sz w:val="24"/>
                <w:szCs w:val="30"/>
              </w:rPr>
              <w:t>开展公务接待次数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sz w:val="24"/>
                <w:szCs w:val="30"/>
              </w:rPr>
              <w:t>≧1（开展1次以上公务接待）</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0"/>
              </w:rPr>
            </w:pPr>
            <w:r>
              <w:rPr>
                <w:rFonts w:hint="eastAsia" w:ascii="宋体" w:hAnsi="宋体" w:cs="宋体"/>
                <w:sz w:val="24"/>
                <w:szCs w:val="30"/>
              </w:rPr>
              <w:t>0（未开展该项活动）</w:t>
            </w:r>
          </w:p>
        </w:tc>
      </w:tr>
    </w:tbl>
    <w:p>
      <w:pPr>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630"/>
        <w:gridCol w:w="112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kern w:val="0"/>
                <w:sz w:val="36"/>
                <w:szCs w:val="36"/>
                <w:lang w:eastAsia="zh-CN"/>
              </w:rPr>
            </w:pPr>
            <w:r>
              <w:rPr>
                <w:rFonts w:hint="eastAsia" w:ascii="宋体" w:hAnsi="宋体" w:cs="宋体"/>
                <w:b/>
                <w:bCs/>
                <w:kern w:val="0"/>
                <w:sz w:val="36"/>
                <w:szCs w:val="36"/>
              </w:rPr>
              <w:t>项目绩效目标完成情况表</w:t>
            </w:r>
          </w:p>
          <w:p>
            <w:pPr>
              <w:widowControl/>
              <w:jc w:val="center"/>
              <w:textAlignment w:val="center"/>
              <w:rPr>
                <w:rFonts w:ascii="宋体" w:hAnsi="宋体" w:cs="宋体"/>
                <w:b/>
                <w:bCs/>
                <w:kern w:val="0"/>
                <w:sz w:val="36"/>
                <w:szCs w:val="36"/>
              </w:rPr>
            </w:pPr>
            <w:r>
              <w:rPr>
                <w:rFonts w:hint="eastAsia" w:ascii="宋体" w:hAnsi="宋体" w:cs="宋体"/>
                <w:bCs/>
                <w:kern w:val="0"/>
                <w:sz w:val="36"/>
                <w:szCs w:val="36"/>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其他交通费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四川省国际经济贸易研究所</w:t>
            </w:r>
          </w:p>
        </w:tc>
      </w:tr>
      <w:tr>
        <w:tblPrEx>
          <w:tblCellMar>
            <w:top w:w="0" w:type="dxa"/>
            <w:left w:w="0" w:type="dxa"/>
            <w:bottom w:w="0" w:type="dxa"/>
            <w:right w:w="0" w:type="dxa"/>
          </w:tblCellMar>
        </w:tblPrEx>
        <w:trPr>
          <w:trHeight w:val="276"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预算执行情况(万元)</w:t>
            </w:r>
          </w:p>
        </w:tc>
        <w:tc>
          <w:tcPr>
            <w:tcW w:w="21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3.71</w:t>
            </w:r>
          </w:p>
        </w:tc>
      </w:tr>
      <w:tr>
        <w:tblPrEx>
          <w:tblCellMar>
            <w:top w:w="0" w:type="dxa"/>
            <w:left w:w="0" w:type="dxa"/>
            <w:bottom w:w="0" w:type="dxa"/>
            <w:right w:w="0" w:type="dxa"/>
          </w:tblCellMar>
        </w:tblPrEx>
        <w:trPr>
          <w:trHeight w:val="27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32"/>
              </w:rPr>
            </w:pPr>
          </w:p>
        </w:tc>
        <w:tc>
          <w:tcPr>
            <w:tcW w:w="21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4</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3.71</w:t>
            </w:r>
          </w:p>
        </w:tc>
      </w:tr>
      <w:tr>
        <w:tblPrEx>
          <w:tblCellMar>
            <w:top w:w="0" w:type="dxa"/>
            <w:left w:w="0" w:type="dxa"/>
            <w:bottom w:w="0" w:type="dxa"/>
            <w:right w:w="0" w:type="dxa"/>
          </w:tblCellMar>
        </w:tblPrEx>
        <w:trPr>
          <w:trHeight w:val="151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32"/>
              </w:rPr>
            </w:pPr>
          </w:p>
        </w:tc>
        <w:tc>
          <w:tcPr>
            <w:tcW w:w="21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32"/>
              </w:rPr>
            </w:pPr>
            <w:r>
              <w:rPr>
                <w:rFonts w:hint="eastAsia" w:ascii="宋体" w:hAnsi="宋体" w:cs="宋体"/>
                <w:sz w:val="24"/>
                <w:szCs w:val="32"/>
              </w:rPr>
              <w:t>0</w:t>
            </w:r>
          </w:p>
        </w:tc>
      </w:tr>
      <w:tr>
        <w:tblPrEx>
          <w:tblCellMar>
            <w:top w:w="0" w:type="dxa"/>
            <w:left w:w="0" w:type="dxa"/>
            <w:bottom w:w="0" w:type="dxa"/>
            <w:right w:w="0" w:type="dxa"/>
          </w:tblCellMar>
        </w:tblPrEx>
        <w:trPr>
          <w:trHeight w:val="276"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年度目标完成情况</w:t>
            </w:r>
          </w:p>
        </w:tc>
        <w:tc>
          <w:tcPr>
            <w:tcW w:w="454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实际完成目标</w:t>
            </w:r>
          </w:p>
        </w:tc>
      </w:tr>
      <w:tr>
        <w:tblPrEx>
          <w:tblCellMar>
            <w:top w:w="0" w:type="dxa"/>
            <w:left w:w="0" w:type="dxa"/>
            <w:bottom w:w="0" w:type="dxa"/>
            <w:right w:w="0" w:type="dxa"/>
          </w:tblCellMar>
        </w:tblPrEx>
        <w:trPr>
          <w:trHeight w:val="115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32"/>
              </w:rPr>
            </w:pPr>
          </w:p>
        </w:tc>
        <w:tc>
          <w:tcPr>
            <w:tcW w:w="454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szCs w:val="32"/>
              </w:rPr>
            </w:pPr>
            <w:r>
              <w:rPr>
                <w:rFonts w:hint="eastAsia" w:ascii="宋体" w:hAnsi="宋体" w:cs="宋体"/>
                <w:sz w:val="24"/>
                <w:szCs w:val="32"/>
              </w:rPr>
              <w:t>支付因2020年调研等办公活动发生的交通费用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支付了2020年调研工作发生的交通费用</w:t>
            </w:r>
          </w:p>
        </w:tc>
      </w:tr>
      <w:tr>
        <w:tblPrEx>
          <w:tblCellMar>
            <w:top w:w="0" w:type="dxa"/>
            <w:left w:w="0" w:type="dxa"/>
            <w:bottom w:w="0" w:type="dxa"/>
            <w:right w:w="0" w:type="dxa"/>
          </w:tblCellMar>
        </w:tblPrEx>
        <w:trPr>
          <w:trHeight w:val="1042" w:hRule="atLeast"/>
          <w:jc w:val="center"/>
        </w:trPr>
        <w:tc>
          <w:tcPr>
            <w:tcW w:w="63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绩效指标完成情况</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实际完成指标值(包含数字及文字描述)</w:t>
            </w:r>
          </w:p>
        </w:tc>
      </w:tr>
      <w:tr>
        <w:tblPrEx>
          <w:tblCellMar>
            <w:top w:w="0" w:type="dxa"/>
            <w:left w:w="0" w:type="dxa"/>
            <w:bottom w:w="0" w:type="dxa"/>
            <w:right w:w="0" w:type="dxa"/>
          </w:tblCellMar>
        </w:tblPrEx>
        <w:trPr>
          <w:trHeight w:val="953" w:hRule="atLeast"/>
          <w:jc w:val="center"/>
        </w:trPr>
        <w:tc>
          <w:tcPr>
            <w:tcW w:w="63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每人每月发生交通费的数额</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≦600元（每人每月发生不超过600元公务出行费用）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292.82元（平均每人每月发生292.82元公务出行费用）</w:t>
            </w:r>
          </w:p>
        </w:tc>
      </w:tr>
    </w:tbl>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630"/>
        <w:gridCol w:w="112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kern w:val="0"/>
                <w:sz w:val="36"/>
                <w:szCs w:val="36"/>
                <w:lang w:eastAsia="zh-CN"/>
              </w:rPr>
            </w:pPr>
            <w:r>
              <w:rPr>
                <w:rFonts w:hint="eastAsia" w:ascii="宋体" w:hAnsi="宋体" w:cs="宋体"/>
                <w:b/>
                <w:bCs/>
                <w:kern w:val="0"/>
                <w:sz w:val="36"/>
                <w:szCs w:val="36"/>
              </w:rPr>
              <w:t>项目绩效目标完成情况表</w:t>
            </w:r>
          </w:p>
          <w:p>
            <w:pPr>
              <w:widowControl/>
              <w:jc w:val="center"/>
              <w:textAlignment w:val="center"/>
              <w:rPr>
                <w:rFonts w:ascii="宋体" w:hAnsi="宋体" w:cs="宋体"/>
                <w:sz w:val="36"/>
                <w:szCs w:val="36"/>
              </w:rPr>
            </w:pPr>
            <w:r>
              <w:rPr>
                <w:rFonts w:hint="eastAsia" w:ascii="宋体" w:hAnsi="宋体" w:cs="宋体"/>
                <w:kern w:val="0"/>
                <w:sz w:val="36"/>
                <w:szCs w:val="36"/>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租赁费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四川省国际经济贸易研究所</w:t>
            </w:r>
          </w:p>
        </w:tc>
      </w:tr>
      <w:tr>
        <w:tblPrEx>
          <w:tblCellMar>
            <w:top w:w="0" w:type="dxa"/>
            <w:left w:w="0" w:type="dxa"/>
            <w:bottom w:w="0" w:type="dxa"/>
            <w:right w:w="0" w:type="dxa"/>
          </w:tblCellMar>
        </w:tblPrEx>
        <w:trPr>
          <w:trHeight w:val="276"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预算执行情况(万元)</w:t>
            </w:r>
          </w:p>
        </w:tc>
        <w:tc>
          <w:tcPr>
            <w:tcW w:w="21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13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12.08</w:t>
            </w:r>
          </w:p>
        </w:tc>
      </w:tr>
      <w:tr>
        <w:tblPrEx>
          <w:tblCellMar>
            <w:top w:w="0" w:type="dxa"/>
            <w:left w:w="0" w:type="dxa"/>
            <w:bottom w:w="0" w:type="dxa"/>
            <w:right w:w="0" w:type="dxa"/>
          </w:tblCellMar>
        </w:tblPrEx>
        <w:trPr>
          <w:trHeight w:val="27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32"/>
              </w:rPr>
            </w:pPr>
          </w:p>
        </w:tc>
        <w:tc>
          <w:tcPr>
            <w:tcW w:w="21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13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12.08</w:t>
            </w:r>
          </w:p>
        </w:tc>
      </w:tr>
      <w:tr>
        <w:tblPrEx>
          <w:tblCellMar>
            <w:top w:w="0" w:type="dxa"/>
            <w:left w:w="0" w:type="dxa"/>
            <w:bottom w:w="0" w:type="dxa"/>
            <w:right w:w="0" w:type="dxa"/>
          </w:tblCellMar>
        </w:tblPrEx>
        <w:trPr>
          <w:trHeight w:val="151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32"/>
              </w:rPr>
            </w:pPr>
          </w:p>
        </w:tc>
        <w:tc>
          <w:tcPr>
            <w:tcW w:w="21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32"/>
              </w:rPr>
            </w:pPr>
            <w:r>
              <w:rPr>
                <w:rFonts w:hint="eastAsia" w:ascii="宋体" w:hAnsi="宋体" w:cs="宋体"/>
                <w:sz w:val="24"/>
                <w:szCs w:val="32"/>
              </w:rPr>
              <w:t>0</w:t>
            </w:r>
          </w:p>
        </w:tc>
      </w:tr>
      <w:tr>
        <w:tblPrEx>
          <w:tblCellMar>
            <w:top w:w="0" w:type="dxa"/>
            <w:left w:w="0" w:type="dxa"/>
            <w:bottom w:w="0" w:type="dxa"/>
            <w:right w:w="0" w:type="dxa"/>
          </w:tblCellMar>
        </w:tblPrEx>
        <w:trPr>
          <w:trHeight w:val="276"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年度目标完成情况</w:t>
            </w:r>
          </w:p>
        </w:tc>
        <w:tc>
          <w:tcPr>
            <w:tcW w:w="454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实际完成目标</w:t>
            </w:r>
          </w:p>
        </w:tc>
      </w:tr>
      <w:tr>
        <w:tblPrEx>
          <w:tblCellMar>
            <w:top w:w="0" w:type="dxa"/>
            <w:left w:w="0" w:type="dxa"/>
            <w:bottom w:w="0" w:type="dxa"/>
            <w:right w:w="0" w:type="dxa"/>
          </w:tblCellMar>
        </w:tblPrEx>
        <w:trPr>
          <w:trHeight w:val="115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32"/>
              </w:rPr>
            </w:pPr>
          </w:p>
        </w:tc>
        <w:tc>
          <w:tcPr>
            <w:tcW w:w="454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szCs w:val="32"/>
              </w:rPr>
            </w:pPr>
            <w:r>
              <w:rPr>
                <w:rFonts w:hint="eastAsia" w:ascii="宋体" w:hAnsi="宋体" w:cs="宋体"/>
                <w:sz w:val="24"/>
                <w:szCs w:val="32"/>
              </w:rPr>
              <w:t>支付2020年办公用房租赁费</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支付了2020年办公用房租赁费</w:t>
            </w:r>
          </w:p>
        </w:tc>
      </w:tr>
      <w:tr>
        <w:tblPrEx>
          <w:tblCellMar>
            <w:top w:w="0" w:type="dxa"/>
            <w:left w:w="0" w:type="dxa"/>
            <w:bottom w:w="0" w:type="dxa"/>
            <w:right w:w="0" w:type="dxa"/>
          </w:tblCellMar>
        </w:tblPrEx>
        <w:trPr>
          <w:trHeight w:val="1042" w:hRule="atLeast"/>
          <w:jc w:val="center"/>
        </w:trPr>
        <w:tc>
          <w:tcPr>
            <w:tcW w:w="63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绩效指标完成情况</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实际完成指标值(包含数字及文字描述)</w:t>
            </w:r>
          </w:p>
        </w:tc>
      </w:tr>
      <w:tr>
        <w:tblPrEx>
          <w:tblCellMar>
            <w:top w:w="0" w:type="dxa"/>
            <w:left w:w="0" w:type="dxa"/>
            <w:bottom w:w="0" w:type="dxa"/>
            <w:right w:w="0" w:type="dxa"/>
          </w:tblCellMar>
        </w:tblPrEx>
        <w:trPr>
          <w:trHeight w:val="953" w:hRule="atLeast"/>
          <w:jc w:val="center"/>
        </w:trPr>
        <w:tc>
          <w:tcPr>
            <w:tcW w:w="63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租赁费的支付时效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szCs w:val="32"/>
              </w:rPr>
            </w:pPr>
            <w:r>
              <w:rPr>
                <w:rFonts w:hint="eastAsia" w:ascii="宋体" w:hAnsi="宋体" w:cs="宋体"/>
                <w:sz w:val="24"/>
                <w:szCs w:val="32"/>
              </w:rPr>
              <w:t>≦30天（收到相关支付请求时，30天内支付，保障办公后勤服务）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szCs w:val="32"/>
              </w:rPr>
            </w:pPr>
            <w:r>
              <w:rPr>
                <w:rFonts w:hint="eastAsia" w:ascii="宋体" w:hAnsi="宋体" w:cs="宋体"/>
                <w:sz w:val="24"/>
                <w:szCs w:val="32"/>
              </w:rPr>
              <w:t>7（收到支付请求后7天完成支付）</w:t>
            </w:r>
          </w:p>
        </w:tc>
      </w:tr>
    </w:tbl>
    <w:p>
      <w:pPr>
        <w:pStyle w:val="2"/>
        <w:spacing w:before="93"/>
        <w:rPr>
          <w:rFonts w:ascii="宋体" w:hAnsi="宋体" w:eastAsia="宋体"/>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630"/>
        <w:gridCol w:w="112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kern w:val="0"/>
                <w:sz w:val="36"/>
                <w:szCs w:val="36"/>
                <w:lang w:eastAsia="zh-CN"/>
              </w:rPr>
            </w:pPr>
            <w:r>
              <w:rPr>
                <w:rFonts w:hint="eastAsia" w:ascii="宋体" w:hAnsi="宋体" w:cs="宋体"/>
                <w:b/>
                <w:bCs/>
                <w:kern w:val="0"/>
                <w:sz w:val="36"/>
                <w:szCs w:val="36"/>
              </w:rPr>
              <w:t>项目绩效目标完成情况表</w:t>
            </w:r>
          </w:p>
          <w:p>
            <w:pPr>
              <w:widowControl/>
              <w:jc w:val="center"/>
              <w:textAlignment w:val="center"/>
              <w:rPr>
                <w:rFonts w:cs="宋体" w:asciiTheme="minorEastAsia" w:hAnsiTheme="minorEastAsia" w:eastAsiaTheme="minorEastAsia"/>
                <w:sz w:val="24"/>
                <w:szCs w:val="32"/>
              </w:rPr>
            </w:pPr>
            <w:r>
              <w:rPr>
                <w:rFonts w:hint="eastAsia" w:ascii="宋体" w:hAnsi="宋体" w:cs="宋体"/>
                <w:kern w:val="0"/>
                <w:sz w:val="36"/>
                <w:szCs w:val="36"/>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业务经费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四川省国际经济贸易研究所</w:t>
            </w:r>
          </w:p>
        </w:tc>
      </w:tr>
      <w:tr>
        <w:tblPrEx>
          <w:tblCellMar>
            <w:top w:w="0" w:type="dxa"/>
            <w:left w:w="0" w:type="dxa"/>
            <w:bottom w:w="0" w:type="dxa"/>
            <w:right w:w="0" w:type="dxa"/>
          </w:tblCellMar>
        </w:tblPrEx>
        <w:trPr>
          <w:trHeight w:val="276"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预算执行情况(万元)</w:t>
            </w:r>
          </w:p>
        </w:tc>
        <w:tc>
          <w:tcPr>
            <w:tcW w:w="21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10.53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10.46</w:t>
            </w:r>
          </w:p>
        </w:tc>
      </w:tr>
      <w:tr>
        <w:tblPrEx>
          <w:tblCellMar>
            <w:top w:w="0" w:type="dxa"/>
            <w:left w:w="0" w:type="dxa"/>
            <w:bottom w:w="0" w:type="dxa"/>
            <w:right w:w="0" w:type="dxa"/>
          </w:tblCellMar>
        </w:tblPrEx>
        <w:trPr>
          <w:trHeight w:val="27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32"/>
              </w:rPr>
            </w:pPr>
          </w:p>
        </w:tc>
        <w:tc>
          <w:tcPr>
            <w:tcW w:w="21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10.53</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10.46</w:t>
            </w:r>
          </w:p>
        </w:tc>
      </w:tr>
      <w:tr>
        <w:tblPrEx>
          <w:tblCellMar>
            <w:top w:w="0" w:type="dxa"/>
            <w:left w:w="0" w:type="dxa"/>
            <w:bottom w:w="0" w:type="dxa"/>
            <w:right w:w="0" w:type="dxa"/>
          </w:tblCellMar>
        </w:tblPrEx>
        <w:trPr>
          <w:trHeight w:val="151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32"/>
              </w:rPr>
            </w:pPr>
          </w:p>
        </w:tc>
        <w:tc>
          <w:tcPr>
            <w:tcW w:w="21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32"/>
              </w:rPr>
            </w:pPr>
            <w:r>
              <w:rPr>
                <w:rFonts w:hint="eastAsia" w:ascii="宋体" w:hAnsi="宋体" w:cs="宋体"/>
                <w:sz w:val="24"/>
                <w:szCs w:val="32"/>
              </w:rPr>
              <w:t>0</w:t>
            </w:r>
          </w:p>
        </w:tc>
      </w:tr>
      <w:tr>
        <w:tblPrEx>
          <w:tblCellMar>
            <w:top w:w="0" w:type="dxa"/>
            <w:left w:w="0" w:type="dxa"/>
            <w:bottom w:w="0" w:type="dxa"/>
            <w:right w:w="0" w:type="dxa"/>
          </w:tblCellMar>
        </w:tblPrEx>
        <w:trPr>
          <w:trHeight w:val="276"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年度目标完成情况</w:t>
            </w:r>
          </w:p>
        </w:tc>
        <w:tc>
          <w:tcPr>
            <w:tcW w:w="454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实际完成目标</w:t>
            </w:r>
          </w:p>
        </w:tc>
      </w:tr>
      <w:tr>
        <w:tblPrEx>
          <w:tblCellMar>
            <w:top w:w="0" w:type="dxa"/>
            <w:left w:w="0" w:type="dxa"/>
            <w:bottom w:w="0" w:type="dxa"/>
            <w:right w:w="0" w:type="dxa"/>
          </w:tblCellMar>
        </w:tblPrEx>
        <w:trPr>
          <w:trHeight w:val="115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32"/>
              </w:rPr>
            </w:pPr>
          </w:p>
        </w:tc>
        <w:tc>
          <w:tcPr>
            <w:tcW w:w="454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szCs w:val="32"/>
              </w:rPr>
            </w:pPr>
            <w:r>
              <w:rPr>
                <w:rFonts w:hint="eastAsia" w:ascii="宋体" w:hAnsi="宋体" w:cs="宋体"/>
                <w:sz w:val="24"/>
                <w:szCs w:val="32"/>
              </w:rPr>
              <w:t>支付2020年调研课题等相关费用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支付了2020年调研活动的相关费用，如印制《商务调研手册》</w:t>
            </w:r>
          </w:p>
        </w:tc>
      </w:tr>
      <w:tr>
        <w:tblPrEx>
          <w:tblCellMar>
            <w:top w:w="0" w:type="dxa"/>
            <w:left w:w="0" w:type="dxa"/>
            <w:bottom w:w="0" w:type="dxa"/>
            <w:right w:w="0" w:type="dxa"/>
          </w:tblCellMar>
        </w:tblPrEx>
        <w:trPr>
          <w:trHeight w:val="1042" w:hRule="atLeast"/>
          <w:jc w:val="center"/>
        </w:trPr>
        <w:tc>
          <w:tcPr>
            <w:tcW w:w="63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绩效指标完成情况</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实际完成指标值(包含数字及文字描述)</w:t>
            </w:r>
          </w:p>
        </w:tc>
      </w:tr>
      <w:tr>
        <w:tblPrEx>
          <w:tblCellMar>
            <w:top w:w="0" w:type="dxa"/>
            <w:left w:w="0" w:type="dxa"/>
            <w:bottom w:w="0" w:type="dxa"/>
            <w:right w:w="0" w:type="dxa"/>
          </w:tblCellMar>
        </w:tblPrEx>
        <w:trPr>
          <w:trHeight w:val="953" w:hRule="atLeast"/>
          <w:jc w:val="center"/>
        </w:trPr>
        <w:tc>
          <w:tcPr>
            <w:tcW w:w="63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完成课题的数量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szCs w:val="32"/>
              </w:rPr>
            </w:pPr>
            <w:r>
              <w:rPr>
                <w:rFonts w:hint="eastAsia" w:ascii="宋体" w:hAnsi="宋体" w:cs="宋体"/>
                <w:sz w:val="24"/>
                <w:szCs w:val="32"/>
              </w:rPr>
              <w:t>≧18篇（完成课题数量）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szCs w:val="32"/>
              </w:rPr>
            </w:pPr>
            <w:r>
              <w:rPr>
                <w:rFonts w:hint="eastAsia" w:ascii="宋体" w:hAnsi="宋体" w:cs="宋体"/>
                <w:sz w:val="24"/>
                <w:szCs w:val="32"/>
              </w:rPr>
              <w:t>21（2020年共完成21项课题）</w:t>
            </w:r>
          </w:p>
        </w:tc>
      </w:tr>
    </w:tbl>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p>
      <w:pPr>
        <w:pStyle w:val="2"/>
        <w:spacing w:before="93"/>
        <w:rPr>
          <w:rFonts w:asciiTheme="minorEastAsia" w:hAnsiTheme="minorEastAsia" w:eastAsiaTheme="minorEastAsia"/>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630"/>
        <w:gridCol w:w="112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eastAsia="宋体" w:cs="宋体"/>
                <w:b/>
                <w:bCs/>
                <w:kern w:val="0"/>
                <w:sz w:val="36"/>
                <w:szCs w:val="36"/>
                <w:lang w:eastAsia="zh-CN"/>
              </w:rPr>
            </w:pPr>
            <w:r>
              <w:rPr>
                <w:rFonts w:hint="eastAsia" w:ascii="宋体" w:hAnsi="宋体" w:cs="宋体"/>
                <w:b/>
                <w:bCs/>
                <w:kern w:val="0"/>
                <w:sz w:val="36"/>
                <w:szCs w:val="36"/>
              </w:rPr>
              <w:t>项目绩效目标完成情况表</w:t>
            </w:r>
          </w:p>
          <w:p>
            <w:pPr>
              <w:widowControl/>
              <w:jc w:val="center"/>
              <w:textAlignment w:val="center"/>
              <w:rPr>
                <w:rFonts w:cs="宋体" w:asciiTheme="minorEastAsia" w:hAnsiTheme="minorEastAsia" w:eastAsiaTheme="minorEastAsia"/>
                <w:sz w:val="24"/>
                <w:szCs w:val="32"/>
              </w:rPr>
            </w:pPr>
            <w:r>
              <w:rPr>
                <w:rFonts w:hint="eastAsia" w:ascii="宋体" w:hAnsi="宋体" w:cs="宋体"/>
                <w:kern w:val="0"/>
                <w:sz w:val="36"/>
                <w:szCs w:val="36"/>
              </w:rPr>
              <w:t>(2020年度)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物管费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四川省国际经济贸易研究所</w:t>
            </w:r>
          </w:p>
        </w:tc>
      </w:tr>
      <w:tr>
        <w:tblPrEx>
          <w:tblCellMar>
            <w:top w:w="0" w:type="dxa"/>
            <w:left w:w="0" w:type="dxa"/>
            <w:bottom w:w="0" w:type="dxa"/>
            <w:right w:w="0" w:type="dxa"/>
          </w:tblCellMar>
        </w:tblPrEx>
        <w:trPr>
          <w:trHeight w:val="276"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预算执行情况(万元)</w:t>
            </w:r>
          </w:p>
        </w:tc>
        <w:tc>
          <w:tcPr>
            <w:tcW w:w="21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5.81</w:t>
            </w:r>
          </w:p>
        </w:tc>
      </w:tr>
      <w:tr>
        <w:tblPrEx>
          <w:tblCellMar>
            <w:top w:w="0" w:type="dxa"/>
            <w:left w:w="0" w:type="dxa"/>
            <w:bottom w:w="0" w:type="dxa"/>
            <w:right w:w="0" w:type="dxa"/>
          </w:tblCellMar>
        </w:tblPrEx>
        <w:trPr>
          <w:trHeight w:val="276"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32"/>
              </w:rPr>
            </w:pPr>
          </w:p>
        </w:tc>
        <w:tc>
          <w:tcPr>
            <w:tcW w:w="21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10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5.81</w:t>
            </w:r>
          </w:p>
        </w:tc>
      </w:tr>
      <w:tr>
        <w:tblPrEx>
          <w:tblCellMar>
            <w:top w:w="0" w:type="dxa"/>
            <w:left w:w="0" w:type="dxa"/>
            <w:bottom w:w="0" w:type="dxa"/>
            <w:right w:w="0" w:type="dxa"/>
          </w:tblCellMar>
        </w:tblPrEx>
        <w:trPr>
          <w:trHeight w:val="1511"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32"/>
              </w:rPr>
            </w:pPr>
          </w:p>
        </w:tc>
        <w:tc>
          <w:tcPr>
            <w:tcW w:w="215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32"/>
              </w:rPr>
            </w:pPr>
            <w:r>
              <w:rPr>
                <w:rFonts w:hint="eastAsia" w:ascii="宋体" w:hAnsi="宋体" w:cs="宋体"/>
                <w:sz w:val="24"/>
                <w:szCs w:val="32"/>
              </w:rPr>
              <w:t>0</w:t>
            </w:r>
          </w:p>
        </w:tc>
      </w:tr>
      <w:tr>
        <w:tblPrEx>
          <w:tblCellMar>
            <w:top w:w="0" w:type="dxa"/>
            <w:left w:w="0" w:type="dxa"/>
            <w:bottom w:w="0" w:type="dxa"/>
            <w:right w:w="0" w:type="dxa"/>
          </w:tblCellMar>
        </w:tblPrEx>
        <w:trPr>
          <w:trHeight w:val="276"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年度目标完成情况</w:t>
            </w:r>
          </w:p>
        </w:tc>
        <w:tc>
          <w:tcPr>
            <w:tcW w:w="454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实际完成目标</w:t>
            </w:r>
          </w:p>
        </w:tc>
      </w:tr>
      <w:tr>
        <w:tblPrEx>
          <w:tblCellMar>
            <w:top w:w="0" w:type="dxa"/>
            <w:left w:w="0" w:type="dxa"/>
            <w:bottom w:w="0" w:type="dxa"/>
            <w:right w:w="0" w:type="dxa"/>
          </w:tblCellMar>
        </w:tblPrEx>
        <w:trPr>
          <w:trHeight w:val="1159"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sz w:val="24"/>
                <w:szCs w:val="32"/>
              </w:rPr>
            </w:pPr>
          </w:p>
        </w:tc>
        <w:tc>
          <w:tcPr>
            <w:tcW w:w="454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szCs w:val="32"/>
              </w:rPr>
            </w:pPr>
            <w:r>
              <w:rPr>
                <w:rFonts w:hint="eastAsia" w:ascii="宋体" w:hAnsi="宋体" w:cs="宋体"/>
                <w:sz w:val="24"/>
                <w:szCs w:val="32"/>
              </w:rPr>
              <w:t>支付2020年物管费</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支付了2020年物管费</w:t>
            </w:r>
          </w:p>
        </w:tc>
      </w:tr>
      <w:tr>
        <w:tblPrEx>
          <w:tblCellMar>
            <w:top w:w="0" w:type="dxa"/>
            <w:left w:w="0" w:type="dxa"/>
            <w:bottom w:w="0" w:type="dxa"/>
            <w:right w:w="0" w:type="dxa"/>
          </w:tblCellMar>
        </w:tblPrEx>
        <w:trPr>
          <w:trHeight w:val="1042" w:hRule="atLeast"/>
          <w:jc w:val="center"/>
        </w:trPr>
        <w:tc>
          <w:tcPr>
            <w:tcW w:w="63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绩效指标完成情况</w:t>
            </w: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实际完成指标值(包含数字及文字描述)</w:t>
            </w:r>
          </w:p>
        </w:tc>
      </w:tr>
      <w:tr>
        <w:tblPrEx>
          <w:tblCellMar>
            <w:top w:w="0" w:type="dxa"/>
            <w:left w:w="0" w:type="dxa"/>
            <w:bottom w:w="0" w:type="dxa"/>
            <w:right w:w="0" w:type="dxa"/>
          </w:tblCellMar>
        </w:tblPrEx>
        <w:trPr>
          <w:trHeight w:val="953" w:hRule="atLeast"/>
          <w:jc w:val="center"/>
        </w:trPr>
        <w:tc>
          <w:tcPr>
            <w:tcW w:w="63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p>
        </w:tc>
        <w:tc>
          <w:tcPr>
            <w:tcW w:w="1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kern w:val="0"/>
                <w:sz w:val="24"/>
                <w:szCs w:val="32"/>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4"/>
                <w:szCs w:val="32"/>
              </w:rPr>
            </w:pPr>
            <w:r>
              <w:rPr>
                <w:rFonts w:hint="eastAsia" w:ascii="宋体" w:hAnsi="宋体" w:cs="宋体"/>
                <w:sz w:val="24"/>
                <w:szCs w:val="32"/>
              </w:rPr>
              <w:t>物管费的支付时效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szCs w:val="32"/>
              </w:rPr>
            </w:pPr>
            <w:r>
              <w:rPr>
                <w:rFonts w:hint="eastAsia" w:ascii="宋体" w:hAnsi="宋体" w:cs="宋体"/>
                <w:sz w:val="24"/>
                <w:szCs w:val="32"/>
              </w:rPr>
              <w:t>≦30天（收到相关支付请求时，30天内支付，保障办公后勤服务）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4"/>
                <w:szCs w:val="32"/>
              </w:rPr>
            </w:pPr>
            <w:r>
              <w:rPr>
                <w:rFonts w:hint="eastAsia" w:ascii="宋体" w:hAnsi="宋体" w:cs="宋体"/>
                <w:sz w:val="24"/>
                <w:szCs w:val="32"/>
              </w:rPr>
              <w:t>7（收到支付请求后7天完成支付）</w:t>
            </w:r>
          </w:p>
        </w:tc>
      </w:tr>
    </w:tbl>
    <w:p>
      <w:pPr>
        <w:spacing w:line="600" w:lineRule="exact"/>
        <w:outlineLvl w:val="0"/>
        <w:rPr>
          <w:rFonts w:asciiTheme="minorEastAsia" w:hAnsiTheme="minorEastAsia" w:eastAsiaTheme="minorEastAsia"/>
          <w:bCs/>
          <w:kern w:val="44"/>
          <w:sz w:val="32"/>
          <w:szCs w:val="32"/>
        </w:rPr>
      </w:pPr>
      <w:bookmarkStart w:id="82" w:name="_Toc15396613"/>
      <w:bookmarkStart w:id="83" w:name="_Toc15377225"/>
    </w:p>
    <w:p>
      <w:pPr>
        <w:spacing w:line="600" w:lineRule="exact"/>
        <w:ind w:left="62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2.单位绩效评价结果</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自行组织对公务接待费、其他交通费用、业务经费、租赁费、物业管理费项目开展了绩效评价，《2020年公务接待费项目支出绩效自评报告》、《2020年其他交通费用项目支出绩效自评报告》、《2020年业务经费项目支出绩效自评报告》、《2020年租赁费项目支出绩效自评报告》、《2020年物业管理费项目支出绩效自评报告》见附件（第四部分）。</w:t>
      </w:r>
    </w:p>
    <w:p>
      <w:pPr>
        <w:pStyle w:val="2"/>
        <w:spacing w:before="93"/>
      </w:pPr>
    </w:p>
    <w:p>
      <w:pPr>
        <w:pStyle w:val="3"/>
        <w:rPr>
          <w:rFonts w:hint="eastAsia"/>
        </w:rPr>
      </w:pPr>
      <w:bookmarkStart w:id="84" w:name="_Toc5658"/>
      <w:r>
        <w:rPr>
          <w:rFonts w:hint="eastAsia"/>
        </w:rPr>
        <w:t>第三部分 名词解释</w:t>
      </w:r>
      <w:bookmarkEnd w:id="82"/>
      <w:bookmarkEnd w:id="83"/>
      <w:bookmarkEnd w:id="84"/>
    </w:p>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4.其他收入：指单位取得的除上述收入以外的各项收入。 </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5.使用非财政拨款结余：指事业单位使用以前年度积累的非财政拨款结余弥补当年收支差额的金额。 </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7.结余分配：指事业单位按照会计制度规定缴纳的所得税、提取的专用结余以及转入非财政拨款结余的金额等。</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9.科学技术（类）应用研究（款）机构运行（项）：指四川省国际经济贸易研究所的基本支出。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10.科学技术支出（类）应用研究（款）社会公益研究（项）：指四川省国际经济贸易研究所从事社会公益研究支出。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11.社会保障和就业支出（类）行政事业单位养老支出（款）机关事业单位基本养老保险缴费支出（项）：指单位实施养老保险制度由单位缴纳的基本养老保险费支出。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12.社会保障和就业支出（类）行政事业单位养老支出（款）机关事业单位职业年金缴费支出（项）：指单位实施养老保险制度由单位实际缴纳的职业年金支出。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13.社会保障和就业支出（类）其他社会保障和就业支出（款）其他社会保障和就业支出（项）：指单位其他社会保障和就业支出。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14.卫生健康支出（类）行政事业单位医疗（款）事业单位医疗（项）：指事业单位基本医疗保险缴费。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15.住房保障支出（类）住房改革支出（款）住房公积金（项）：指单位按照人力资源和社会保障以及财政部门规定的基本工资和津贴补贴以及规定的比例为职工缴纳的住房公积金。</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16.住房保障支出（类）住房改革支出（款）购房补贴（项）：指单位按照房改政策规定向符合条件职工（含离退休人员）用于购买住房的补贴。</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17.基本支出：指为保障机构正常运转、完成日常工作任务而发生的人员支出和公用支出。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18.项目支出：指在基本支出之外为完成特定行政任务和事业发展目标所发生的支出。 </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19.经营支出：指事业单位在专业业务活动及其辅助活动之外开展非独立核算经营活动发生的支出。</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
      </w:pPr>
      <w:bookmarkStart w:id="85" w:name="_Toc15377226"/>
      <w:r>
        <w:rPr>
          <w:rFonts w:asciiTheme="minorEastAsia" w:hAnsiTheme="minorEastAsia" w:eastAsiaTheme="minorEastAsia"/>
          <w:b/>
          <w:sz w:val="32"/>
          <w:szCs w:val="32"/>
        </w:rPr>
        <w:br w:type="page"/>
      </w:r>
      <w:bookmarkStart w:id="86" w:name="_Toc15396614"/>
      <w:bookmarkStart w:id="87" w:name="_Toc23409"/>
      <w:r>
        <w:rPr>
          <w:rFonts w:hint="eastAsia"/>
        </w:rPr>
        <w:t>第四部分 附件</w:t>
      </w:r>
      <w:bookmarkEnd w:id="86"/>
      <w:bookmarkEnd w:id="87"/>
    </w:p>
    <w:p>
      <w:pPr>
        <w:spacing w:line="600" w:lineRule="exact"/>
        <w:jc w:val="center"/>
        <w:rPr>
          <w:rFonts w:hint="eastAsia" w:ascii="方正小标宋简体" w:hAnsi="方正小标宋简体" w:eastAsia="方正小标宋简体" w:cs="方正小标宋简体"/>
          <w:kern w:val="0"/>
          <w:sz w:val="44"/>
          <w:szCs w:val="44"/>
          <w:lang w:val="zh-CN"/>
        </w:rPr>
      </w:pPr>
    </w:p>
    <w:p>
      <w:pPr>
        <w:spacing w:line="600" w:lineRule="exact"/>
        <w:jc w:val="center"/>
        <w:rPr>
          <w:rFonts w:hint="eastAsia" w:ascii="方正小标宋简体" w:hAnsi="方正小标宋简体" w:eastAsia="方正小标宋简体" w:cs="方正小标宋简体"/>
          <w:kern w:val="0"/>
          <w:sz w:val="44"/>
          <w:szCs w:val="44"/>
          <w:lang w:val="zh-CN"/>
        </w:rPr>
      </w:pPr>
      <w:r>
        <w:rPr>
          <w:rFonts w:hint="eastAsia" w:ascii="方正小标宋简体" w:hAnsi="方正小标宋简体" w:eastAsia="方正小标宋简体" w:cs="方正小标宋简体"/>
          <w:kern w:val="0"/>
          <w:sz w:val="44"/>
          <w:szCs w:val="44"/>
          <w:lang w:val="zh-CN"/>
        </w:rPr>
        <w:t>2020年四川省国际经济贸易研究所</w:t>
      </w:r>
    </w:p>
    <w:p>
      <w:pPr>
        <w:spacing w:line="600" w:lineRule="exact"/>
        <w:jc w:val="center"/>
        <w:rPr>
          <w:rFonts w:hint="eastAsia" w:ascii="方正小标宋简体" w:hAnsi="方正小标宋简体" w:eastAsia="方正小标宋简体" w:cs="方正小标宋简体"/>
          <w:kern w:val="0"/>
          <w:sz w:val="44"/>
          <w:szCs w:val="44"/>
          <w:lang w:val="zh-CN"/>
        </w:rPr>
      </w:pPr>
      <w:r>
        <w:rPr>
          <w:rFonts w:hint="eastAsia" w:ascii="方正小标宋简体" w:hAnsi="方正小标宋简体" w:eastAsia="方正小标宋简体" w:cs="方正小标宋简体"/>
          <w:kern w:val="0"/>
          <w:sz w:val="44"/>
          <w:szCs w:val="44"/>
          <w:lang w:val="zh-CN"/>
        </w:rPr>
        <w:t>公务接待费项目支出绩效自评报告</w:t>
      </w:r>
    </w:p>
    <w:p>
      <w:pPr>
        <w:spacing w:line="600" w:lineRule="exact"/>
        <w:jc w:val="center"/>
        <w:rPr>
          <w:rFonts w:hint="eastAsia" w:ascii="方正小标宋简体" w:hAnsi="方正小标宋简体" w:eastAsia="方正小标宋简体" w:cs="方正小标宋简体"/>
          <w:b/>
          <w:bCs/>
          <w:kern w:val="0"/>
          <w:lang w:val="zh-CN"/>
        </w:rPr>
      </w:pPr>
      <w:r>
        <w:rPr>
          <w:rFonts w:hint="eastAsia" w:ascii="方正小标宋简体" w:hAnsi="方正小标宋简体" w:eastAsia="方正小标宋简体" w:cs="方正小标宋简体"/>
          <w:kern w:val="0"/>
          <w:sz w:val="44"/>
          <w:szCs w:val="44"/>
          <w:lang w:val="zh-CN"/>
        </w:rPr>
        <w:t>（项目单位自评）</w:t>
      </w:r>
    </w:p>
    <w:p>
      <w:pPr>
        <w:spacing w:line="600" w:lineRule="exact"/>
        <w:ind w:left="660"/>
        <w:jc w:val="center"/>
        <w:outlineLvl w:val="0"/>
        <w:rPr>
          <w:rStyle w:val="24"/>
          <w:rFonts w:ascii="黑体" w:hAnsi="黑体"/>
        </w:rPr>
      </w:pPr>
    </w:p>
    <w:p>
      <w:pPr>
        <w:adjustRightInd w:val="0"/>
        <w:snapToGrid w:val="0"/>
        <w:spacing w:line="600" w:lineRule="exact"/>
        <w:ind w:firstLine="720"/>
        <w:rPr>
          <w:rFonts w:ascii="黑体" w:hAnsi="黑体" w:eastAsia="黑体"/>
          <w:sz w:val="32"/>
          <w:szCs w:val="32"/>
          <w:lang w:val="zh-CN"/>
        </w:rPr>
      </w:pPr>
      <w:r>
        <w:rPr>
          <w:rFonts w:hint="eastAsia" w:ascii="黑体" w:hAnsi="黑体" w:eastAsia="黑体"/>
          <w:sz w:val="32"/>
          <w:szCs w:val="32"/>
        </w:rPr>
        <w:t>一、</w:t>
      </w:r>
      <w:r>
        <w:rPr>
          <w:rFonts w:hint="eastAsia" w:ascii="黑体" w:hAnsi="黑体" w:eastAsia="黑体"/>
          <w:sz w:val="32"/>
          <w:szCs w:val="32"/>
          <w:lang w:val="zh-CN"/>
        </w:rPr>
        <w:t>项目概况</w:t>
      </w:r>
    </w:p>
    <w:p>
      <w:pPr>
        <w:adjustRightInd w:val="0"/>
        <w:snapToGrid w:val="0"/>
        <w:spacing w:line="600" w:lineRule="exact"/>
        <w:ind w:firstLine="720"/>
        <w:rPr>
          <w:rFonts w:asciiTheme="minorEastAsia" w:hAnsiTheme="minorEastAsia" w:eastAsiaTheme="minorEastAsia"/>
          <w:sz w:val="32"/>
          <w:szCs w:val="32"/>
          <w:lang w:val="zh-CN"/>
        </w:rPr>
      </w:pPr>
      <w:r>
        <w:rPr>
          <w:rFonts w:hint="eastAsia" w:ascii="楷体_GB2312" w:hAnsi="宋体" w:eastAsia="楷体_GB2312"/>
          <w:b/>
          <w:sz w:val="32"/>
          <w:szCs w:val="32"/>
          <w:lang w:val="zh-CN"/>
        </w:rPr>
        <w:t>（一）项目资金申报及批复情况。</w:t>
      </w:r>
      <w:r>
        <w:rPr>
          <w:rFonts w:hint="eastAsia" w:ascii="仿宋_GB2312" w:hAnsi="宋体" w:eastAsia="仿宋_GB2312"/>
          <w:sz w:val="32"/>
          <w:szCs w:val="32"/>
          <w:lang w:val="zh-CN"/>
        </w:rPr>
        <w:t>项目资金申报和批复数均为0.3万，无调整，符合资金管理办法等相关规定。</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r>
        <w:rPr>
          <w:rFonts w:hint="eastAsia" w:ascii="仿宋_GB2312" w:hAnsi="宋体" w:eastAsia="仿宋_GB2312"/>
          <w:sz w:val="32"/>
          <w:szCs w:val="32"/>
          <w:lang w:val="zh-CN"/>
        </w:rPr>
        <w:t xml:space="preserve">本年度计划组织与业务相关的公务接待活动1-2次，以促进业务交流，公务接待费控制在0.3万以内，项目实施进度按照实际需要安排。  </w:t>
      </w:r>
      <w:r>
        <w:rPr>
          <w:rFonts w:hint="eastAsia" w:asciiTheme="minorEastAsia" w:hAnsiTheme="minorEastAsia" w:eastAsiaTheme="minorEastAsia"/>
          <w:sz w:val="32"/>
          <w:szCs w:val="32"/>
          <w:lang w:val="zh-CN"/>
        </w:rPr>
        <w:t xml:space="preserve">  </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（三）项目资金申报相符性。</w:t>
      </w:r>
      <w:r>
        <w:rPr>
          <w:rFonts w:hint="eastAsia" w:ascii="仿宋_GB2312" w:hAnsi="宋体" w:eastAsia="仿宋_GB2312"/>
          <w:sz w:val="32"/>
          <w:szCs w:val="32"/>
          <w:lang w:val="zh-CN"/>
        </w:rPr>
        <w:t>项目申报内容与具体实施内容相符、申报目标合理可行。</w:t>
      </w:r>
    </w:p>
    <w:p>
      <w:pPr>
        <w:adjustRightInd w:val="0"/>
        <w:snapToGrid w:val="0"/>
        <w:spacing w:line="600" w:lineRule="exact"/>
        <w:ind w:firstLine="720"/>
        <w:rPr>
          <w:rFonts w:ascii="黑体" w:hAnsi="黑体" w:eastAsia="黑体"/>
          <w:sz w:val="32"/>
          <w:szCs w:val="32"/>
        </w:rPr>
      </w:pPr>
      <w:r>
        <w:rPr>
          <w:rFonts w:hint="eastAsia" w:ascii="黑体" w:hAnsi="黑体" w:eastAsia="黑体"/>
          <w:sz w:val="32"/>
          <w:szCs w:val="32"/>
        </w:rPr>
        <w:t>二、项目实施及管理情况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ab/>
      </w:r>
      <w:r>
        <w:rPr>
          <w:rFonts w:hint="eastAsia" w:ascii="楷体_GB2312" w:hAnsi="宋体" w:eastAsia="楷体_GB2312"/>
          <w:b/>
          <w:sz w:val="32"/>
          <w:szCs w:val="32"/>
          <w:lang w:val="zh-CN"/>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1．资金计划及到位。该项目各类资金计划截止到评价时点均已到位，资金到位率100%，资金到位及时，满足资金计划的正常进行。</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2．资金使用。2020年度实际支出数为0万元，完成预算0%，主要原因是受疫情影响，未组织公务接待。</w:t>
      </w:r>
    </w:p>
    <w:p>
      <w:pPr>
        <w:adjustRightInd w:val="0"/>
        <w:snapToGrid w:val="0"/>
        <w:spacing w:line="600" w:lineRule="exact"/>
        <w:ind w:firstLine="720"/>
        <w:rPr>
          <w:rFonts w:asciiTheme="minorEastAsia" w:hAnsiTheme="minorEastAsia" w:eastAsiaTheme="minorEastAsia"/>
          <w:b/>
          <w:sz w:val="32"/>
          <w:szCs w:val="32"/>
          <w:lang w:val="zh-CN"/>
        </w:rPr>
      </w:pPr>
      <w:r>
        <w:rPr>
          <w:rFonts w:hint="eastAsia" w:ascii="楷体_GB2312" w:hAnsi="宋体" w:eastAsia="楷体_GB2312"/>
          <w:b/>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单位针对项目资金建立了专门的财务管理制度，具备规范的财务部门和财务人员进行规范的会计核算和账务处理。按照项目资金管理办法的相关规定，该项目严格执行财务管理制度，财务处理及时，会计核算规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adjustRightInd w:val="0"/>
        <w:snapToGrid w:val="0"/>
        <w:spacing w:line="600" w:lineRule="exact"/>
        <w:ind w:firstLine="640" w:firstLineChars="200"/>
        <w:rPr>
          <w:rFonts w:asciiTheme="minorEastAsia" w:hAnsiTheme="minorEastAsia" w:eastAsiaTheme="minorEastAsia"/>
          <w:sz w:val="32"/>
          <w:szCs w:val="32"/>
          <w:lang w:val="zh-CN"/>
        </w:rPr>
      </w:pPr>
      <w:r>
        <w:rPr>
          <w:rFonts w:hint="eastAsia" w:ascii="仿宋_GB2312" w:hAnsi="宋体" w:eastAsia="仿宋_GB2312"/>
          <w:sz w:val="32"/>
          <w:szCs w:val="32"/>
          <w:lang w:val="zh-CN"/>
        </w:rPr>
        <w:t>项目组织管理主要由各业务组、财务室和单位负责人组成，项目实施由各业务组申请，财务室审核，单位负责人监督并把控。</w:t>
      </w:r>
    </w:p>
    <w:p>
      <w:pPr>
        <w:adjustRightInd w:val="0"/>
        <w:snapToGrid w:val="0"/>
        <w:spacing w:line="600" w:lineRule="exact"/>
        <w:ind w:firstLine="720"/>
        <w:rPr>
          <w:rFonts w:ascii="黑体" w:hAnsi="黑体" w:eastAsia="黑体"/>
          <w:sz w:val="32"/>
          <w:szCs w:val="32"/>
        </w:rPr>
      </w:pPr>
      <w:r>
        <w:rPr>
          <w:rFonts w:hint="eastAsia" w:ascii="黑体" w:hAnsi="黑体" w:eastAsia="黑体"/>
          <w:sz w:val="32"/>
          <w:szCs w:val="32"/>
        </w:rPr>
        <w:t>三、项目绩效情况</w:t>
      </w:r>
      <w:r>
        <w:rPr>
          <w:rFonts w:hint="eastAsia" w:ascii="黑体" w:hAnsi="黑体" w:eastAsia="黑体"/>
          <w:sz w:val="32"/>
          <w:szCs w:val="32"/>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因疫情原因，本年度未安排公务接待，未发生公务接待费，项目完成度为0%。</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从项目经济、社会、生态、可持续效益以及服务对象满意度等方面对项目效益进行全面分析评价。</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受疫情影响，本年未发生公务接待费，从经济上来讲节约了成本开支，从社会和可持续发展上来讲单位严格执行国家防疫政策，是以人为本的体现。</w:t>
      </w:r>
    </w:p>
    <w:p>
      <w:pPr>
        <w:adjustRightInd w:val="0"/>
        <w:snapToGrid w:val="0"/>
        <w:spacing w:line="600" w:lineRule="exact"/>
        <w:ind w:firstLine="720"/>
        <w:rPr>
          <w:rFonts w:ascii="黑体" w:hAnsi="黑体" w:eastAsia="黑体"/>
          <w:sz w:val="32"/>
          <w:szCs w:val="32"/>
        </w:rPr>
      </w:pPr>
      <w:r>
        <w:rPr>
          <w:rFonts w:hint="eastAsia" w:ascii="黑体" w:hAnsi="黑体" w:eastAsia="黑体"/>
          <w:sz w:val="32"/>
          <w:szCs w:val="32"/>
        </w:rPr>
        <w:t>四、问题及建议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r>
        <w:rPr>
          <w:rFonts w:hint="eastAsia" w:ascii="仿宋_GB2312" w:hAnsi="宋体" w:eastAsia="仿宋_GB2312"/>
          <w:sz w:val="32"/>
          <w:szCs w:val="32"/>
          <w:lang w:val="zh-CN"/>
        </w:rPr>
        <w:t>该项目本年度不存在问题。</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（二）相关建议。</w:t>
      </w:r>
      <w:r>
        <w:rPr>
          <w:rFonts w:hint="eastAsia" w:ascii="仿宋_GB2312" w:hAnsi="宋体" w:eastAsia="仿宋_GB2312"/>
          <w:sz w:val="32"/>
          <w:szCs w:val="32"/>
          <w:lang w:val="zh-CN"/>
        </w:rPr>
        <w:t>在项目支出手续和流程方面应该加强把控，严格支出。</w:t>
      </w:r>
    </w:p>
    <w:p>
      <w:pPr>
        <w:spacing w:line="600" w:lineRule="exact"/>
        <w:jc w:val="center"/>
        <w:rPr>
          <w:rFonts w:ascii="方正小标宋简体" w:hAnsi="宋体" w:eastAsia="方正小标宋简体"/>
          <w:kern w:val="0"/>
          <w:sz w:val="44"/>
          <w:szCs w:val="44"/>
          <w:lang w:val="zh-CN"/>
        </w:rPr>
      </w:pPr>
      <w:r>
        <w:rPr>
          <w:rFonts w:hint="eastAsia" w:ascii="方正小标宋简体" w:hAnsi="宋体" w:eastAsia="方正小标宋简体"/>
          <w:kern w:val="0"/>
          <w:sz w:val="44"/>
          <w:szCs w:val="44"/>
          <w:lang w:val="zh-CN"/>
        </w:rPr>
        <w:t>2020年四川省国际经济贸易研究所</w:t>
      </w:r>
    </w:p>
    <w:p>
      <w:pPr>
        <w:spacing w:line="600" w:lineRule="exact"/>
        <w:jc w:val="center"/>
        <w:rPr>
          <w:rFonts w:ascii="方正小标宋简体" w:hAnsi="宋体" w:eastAsia="方正小标宋简体"/>
          <w:kern w:val="0"/>
          <w:sz w:val="44"/>
          <w:szCs w:val="44"/>
          <w:lang w:val="zh-CN"/>
        </w:rPr>
      </w:pPr>
      <w:r>
        <w:rPr>
          <w:rFonts w:hint="eastAsia" w:ascii="方正小标宋简体" w:hAnsi="宋体" w:eastAsia="方正小标宋简体"/>
          <w:kern w:val="0"/>
          <w:sz w:val="44"/>
          <w:szCs w:val="44"/>
          <w:lang w:val="zh-CN"/>
        </w:rPr>
        <w:t>其他交通费用项目支出绩效自评报告</w:t>
      </w:r>
    </w:p>
    <w:p>
      <w:pPr>
        <w:spacing w:line="600" w:lineRule="exact"/>
        <w:jc w:val="center"/>
        <w:rPr>
          <w:rFonts w:ascii="方正小标宋简体" w:hAnsi="宋体" w:eastAsia="方正小标宋简体"/>
          <w:kern w:val="0"/>
          <w:sz w:val="44"/>
          <w:szCs w:val="44"/>
          <w:lang w:val="zh-CN"/>
        </w:rPr>
      </w:pPr>
      <w:r>
        <w:rPr>
          <w:rFonts w:hint="eastAsia" w:ascii="方正小标宋简体" w:hAnsi="宋体" w:eastAsia="方正小标宋简体"/>
          <w:kern w:val="0"/>
          <w:sz w:val="44"/>
          <w:szCs w:val="44"/>
          <w:lang w:val="zh-CN"/>
        </w:rPr>
        <w:t>（项目单位自评）</w:t>
      </w:r>
    </w:p>
    <w:p>
      <w:pPr>
        <w:spacing w:line="600" w:lineRule="exact"/>
        <w:ind w:firstLine="640"/>
        <w:jc w:val="center"/>
        <w:rPr>
          <w:rFonts w:asciiTheme="minorEastAsia" w:hAnsiTheme="minorEastAsia" w:eastAsiaTheme="minorEastAsia"/>
          <w:sz w:val="32"/>
          <w:szCs w:val="32"/>
          <w:lang w:val="zh-CN"/>
        </w:rPr>
      </w:pPr>
    </w:p>
    <w:p>
      <w:pPr>
        <w:adjustRightInd w:val="0"/>
        <w:snapToGrid w:val="0"/>
        <w:spacing w:line="600" w:lineRule="exact"/>
        <w:ind w:firstLine="720"/>
        <w:rPr>
          <w:rFonts w:ascii="黑体" w:hAnsi="黑体" w:eastAsia="黑体"/>
          <w:sz w:val="32"/>
          <w:szCs w:val="32"/>
        </w:rPr>
      </w:pPr>
      <w:r>
        <w:rPr>
          <w:rFonts w:hint="eastAsia" w:ascii="黑体" w:hAnsi="黑体" w:eastAsia="黑体"/>
          <w:sz w:val="32"/>
          <w:szCs w:val="32"/>
        </w:rPr>
        <w:t>一、项目概况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（一）项目资金申报及批复情况。</w:t>
      </w:r>
      <w:r>
        <w:rPr>
          <w:rFonts w:hint="eastAsia" w:ascii="仿宋_GB2312" w:hAnsi="宋体" w:eastAsia="仿宋_GB2312"/>
          <w:sz w:val="32"/>
          <w:szCs w:val="32"/>
          <w:lang w:val="zh-CN"/>
        </w:rPr>
        <w:t>项目资金申报和批复数均为4万，无调整，符合资金管理办法等相关规定。</w:t>
      </w:r>
    </w:p>
    <w:p>
      <w:pPr>
        <w:adjustRightInd w:val="0"/>
        <w:snapToGrid w:val="0"/>
        <w:spacing w:line="600" w:lineRule="exact"/>
        <w:ind w:firstLine="720"/>
        <w:rPr>
          <w:rFonts w:asciiTheme="minorEastAsia" w:hAnsiTheme="minorEastAsia" w:eastAsiaTheme="minorEastAsia"/>
          <w:sz w:val="32"/>
          <w:szCs w:val="32"/>
          <w:lang w:val="zh-CN"/>
        </w:rPr>
      </w:pPr>
      <w:r>
        <w:rPr>
          <w:rFonts w:hint="eastAsia" w:ascii="楷体_GB2312" w:hAnsi="宋体" w:eastAsia="楷体_GB2312"/>
          <w:b/>
          <w:sz w:val="32"/>
          <w:szCs w:val="32"/>
          <w:lang w:val="zh-CN"/>
        </w:rPr>
        <w:t>（二）项目绩效目标。</w:t>
      </w:r>
      <w:r>
        <w:rPr>
          <w:rFonts w:hint="eastAsia" w:ascii="仿宋_GB2312" w:hAnsi="宋体" w:eastAsia="仿宋_GB2312"/>
          <w:sz w:val="32"/>
          <w:szCs w:val="32"/>
          <w:lang w:val="zh-CN"/>
        </w:rPr>
        <w:t>该项目计划实现的具体绩效目标为满足单位调研工作的短途交通出行需要，费用数额控制在4万以内，项目实施进度按照每月均摊累计进行。</w:t>
      </w:r>
      <w:r>
        <w:rPr>
          <w:rFonts w:hint="eastAsia" w:asciiTheme="minorEastAsia" w:hAnsiTheme="minorEastAsia" w:eastAsiaTheme="minorEastAsia"/>
          <w:sz w:val="32"/>
          <w:szCs w:val="32"/>
          <w:lang w:val="zh-CN"/>
        </w:rPr>
        <w:t xml:space="preserve">    </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（三）项目资金申报相符性。</w:t>
      </w:r>
      <w:r>
        <w:rPr>
          <w:rFonts w:hint="eastAsia" w:ascii="仿宋_GB2312" w:hAnsi="宋体" w:eastAsia="仿宋_GB2312"/>
          <w:sz w:val="32"/>
          <w:szCs w:val="32"/>
          <w:lang w:val="zh-CN"/>
        </w:rPr>
        <w:t>项目申报内容与具体实施内容相符、申报目标合理可行。</w:t>
      </w:r>
    </w:p>
    <w:p>
      <w:pPr>
        <w:adjustRightInd w:val="0"/>
        <w:snapToGrid w:val="0"/>
        <w:spacing w:line="600" w:lineRule="exact"/>
        <w:ind w:firstLine="720"/>
        <w:rPr>
          <w:rFonts w:ascii="黑体" w:hAnsi="黑体" w:eastAsia="黑体"/>
          <w:sz w:val="32"/>
          <w:szCs w:val="32"/>
        </w:rPr>
      </w:pPr>
      <w:r>
        <w:rPr>
          <w:rFonts w:hint="eastAsia" w:ascii="黑体" w:hAnsi="黑体" w:eastAsia="黑体"/>
          <w:sz w:val="32"/>
          <w:szCs w:val="32"/>
        </w:rPr>
        <w:t>二、项目实施及管理情况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ab/>
      </w:r>
      <w:r>
        <w:rPr>
          <w:rFonts w:hint="eastAsia" w:ascii="楷体_GB2312" w:hAnsi="宋体" w:eastAsia="楷体_GB2312"/>
          <w:b/>
          <w:sz w:val="32"/>
          <w:szCs w:val="32"/>
          <w:lang w:val="zh-CN"/>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1．资金计划及到位。该项目各类资金计划截止到评价时点均已到位，资金到位率100%，资金到位及时，满足资金计划的正常进行。</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2．资金使用。本年实际支出数额为3.71万元，完成预算92.75%，与预算数基本持平，支付依据合法合规。</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单位针对项目资金建立了专门的财务管理制度，具备规范的财务部门和财务人员进行规范的会计核算和账务处理。按照项目资金管理办法的相关规定，该项目严格执行财务管理制度，财务处理及时，会计核算规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项目组织管理主要由各业务组、财务室和单位负责人组成，项目实施由各业务组申请，财务室审核，单位负责人监督并把控。</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lang w:val="zh-CN"/>
        </w:rPr>
        <w:t>三、项目绩效情况</w:t>
      </w:r>
      <w:r>
        <w:rPr>
          <w:rFonts w:hint="eastAsia" w:ascii="黑体" w:hAnsi="宋体" w:eastAsia="黑体"/>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本年度该项目支出与预算基本持平，执行良好，严格控制不必要的支出，严格按照预算规划执行，实现了成本的有效控制。</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本年度该项目执行良好，对单位的调研工作提供了支持，提高了单位工作效率。</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lang w:val="zh-CN"/>
        </w:rPr>
        <w:t>四、问题及建议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（一）存在的问题。</w:t>
      </w:r>
      <w:r>
        <w:rPr>
          <w:rFonts w:hint="eastAsia" w:ascii="仿宋_GB2312" w:hAnsi="宋体" w:eastAsia="仿宋_GB2312"/>
          <w:sz w:val="32"/>
          <w:szCs w:val="32"/>
          <w:lang w:val="zh-CN"/>
        </w:rPr>
        <w:t>在交通费用的报销过程中存在票据不合规的情况。</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（二）相关建议。</w:t>
      </w:r>
      <w:r>
        <w:rPr>
          <w:rFonts w:hint="eastAsia" w:ascii="仿宋_GB2312" w:hAnsi="宋体" w:eastAsia="仿宋_GB2312"/>
          <w:sz w:val="32"/>
          <w:szCs w:val="32"/>
          <w:lang w:val="zh-CN"/>
        </w:rPr>
        <w:t>加强对单位人员交通费报销流程及手续的培训。</w:t>
      </w:r>
    </w:p>
    <w:p>
      <w:pPr>
        <w:pStyle w:val="2"/>
        <w:spacing w:before="93"/>
        <w:rPr>
          <w:lang w:val="zh-CN"/>
        </w:rPr>
      </w:pPr>
    </w:p>
    <w:p>
      <w:pPr>
        <w:pStyle w:val="2"/>
        <w:spacing w:before="93"/>
        <w:rPr>
          <w:lang w:val="zh-CN"/>
        </w:rPr>
      </w:pPr>
    </w:p>
    <w:p>
      <w:pPr>
        <w:pStyle w:val="2"/>
        <w:spacing w:before="93"/>
        <w:rPr>
          <w:lang w:val="zh-CN"/>
        </w:rPr>
      </w:pPr>
    </w:p>
    <w:p>
      <w:pPr>
        <w:pStyle w:val="2"/>
        <w:spacing w:before="93"/>
        <w:rPr>
          <w:lang w:val="zh-CN"/>
        </w:rPr>
      </w:pPr>
    </w:p>
    <w:p>
      <w:pPr>
        <w:spacing w:line="600" w:lineRule="exact"/>
        <w:jc w:val="center"/>
        <w:rPr>
          <w:rFonts w:ascii="方正小标宋简体" w:hAnsi="宋体" w:eastAsia="方正小标宋简体"/>
          <w:kern w:val="0"/>
          <w:sz w:val="44"/>
          <w:szCs w:val="44"/>
          <w:lang w:val="zh-CN"/>
        </w:rPr>
      </w:pPr>
      <w:r>
        <w:rPr>
          <w:rFonts w:hint="eastAsia" w:ascii="方正小标宋简体" w:hAnsi="宋体" w:eastAsia="方正小标宋简体"/>
          <w:kern w:val="0"/>
          <w:sz w:val="44"/>
          <w:szCs w:val="44"/>
          <w:lang w:val="zh-CN"/>
        </w:rPr>
        <w:t>2020年四川省国际经济贸易研究所</w:t>
      </w:r>
    </w:p>
    <w:p>
      <w:pPr>
        <w:spacing w:line="600" w:lineRule="exact"/>
        <w:jc w:val="center"/>
        <w:rPr>
          <w:rFonts w:ascii="方正小标宋简体" w:hAnsi="宋体" w:eastAsia="方正小标宋简体"/>
          <w:kern w:val="0"/>
          <w:sz w:val="44"/>
          <w:szCs w:val="44"/>
          <w:lang w:val="zh-CN"/>
        </w:rPr>
      </w:pPr>
      <w:r>
        <w:rPr>
          <w:rFonts w:hint="eastAsia" w:ascii="方正小标宋简体" w:hAnsi="宋体" w:eastAsia="方正小标宋简体"/>
          <w:kern w:val="0"/>
          <w:sz w:val="44"/>
          <w:szCs w:val="44"/>
          <w:lang w:val="zh-CN"/>
        </w:rPr>
        <w:t>业务经费项目支出绩效自评报告</w:t>
      </w:r>
    </w:p>
    <w:p>
      <w:pPr>
        <w:spacing w:line="600" w:lineRule="exact"/>
        <w:jc w:val="center"/>
        <w:rPr>
          <w:rFonts w:ascii="方正小标宋简体" w:hAnsi="宋体" w:eastAsia="方正小标宋简体"/>
          <w:kern w:val="0"/>
          <w:sz w:val="44"/>
          <w:szCs w:val="44"/>
          <w:lang w:val="zh-CN"/>
        </w:rPr>
      </w:pPr>
      <w:r>
        <w:rPr>
          <w:rFonts w:hint="eastAsia" w:ascii="方正小标宋简体" w:hAnsi="宋体" w:eastAsia="方正小标宋简体"/>
          <w:kern w:val="0"/>
          <w:sz w:val="44"/>
          <w:szCs w:val="44"/>
          <w:lang w:val="zh-CN"/>
        </w:rPr>
        <w:t>（项目单位自评）</w:t>
      </w:r>
    </w:p>
    <w:p>
      <w:pPr>
        <w:spacing w:line="600" w:lineRule="exact"/>
        <w:ind w:firstLine="640"/>
        <w:jc w:val="center"/>
        <w:rPr>
          <w:rFonts w:asciiTheme="minorEastAsia" w:hAnsiTheme="minorEastAsia" w:eastAsiaTheme="minorEastAsia"/>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lang w:val="zh-CN"/>
        </w:rPr>
        <w:t>一、项目概况</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（一）项目资金申报及批复情况。</w:t>
      </w:r>
      <w:r>
        <w:rPr>
          <w:rFonts w:hint="eastAsia" w:ascii="仿宋_GB2312" w:hAnsi="宋体" w:eastAsia="仿宋_GB2312"/>
          <w:sz w:val="32"/>
          <w:szCs w:val="32"/>
          <w:lang w:val="zh-CN"/>
        </w:rPr>
        <w:t>项目资金申报和批复数均为10.53万，无调整，符合资金管理办法等相关规定。</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r>
        <w:rPr>
          <w:rFonts w:hint="eastAsia" w:ascii="仿宋_GB2312" w:hAnsi="宋体" w:eastAsia="仿宋_GB2312"/>
          <w:sz w:val="32"/>
          <w:szCs w:val="32"/>
          <w:lang w:val="zh-CN"/>
        </w:rPr>
        <w:t xml:space="preserve">本年度计划实现的具体绩效目标为满足单位业务工作的各项零星开支，数额控制在10.53万以内，实施进度按照业务需求安排。 </w:t>
      </w:r>
      <w:r>
        <w:rPr>
          <w:rFonts w:hint="eastAsia" w:asciiTheme="minorEastAsia" w:hAnsiTheme="minorEastAsia" w:eastAsiaTheme="minorEastAsia"/>
          <w:sz w:val="32"/>
          <w:szCs w:val="32"/>
          <w:lang w:val="zh-CN"/>
        </w:rPr>
        <w:t xml:space="preserve">   </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（三）项目资金申报相符性。</w:t>
      </w:r>
      <w:r>
        <w:rPr>
          <w:rFonts w:hint="eastAsia" w:ascii="仿宋_GB2312" w:hAnsi="宋体" w:eastAsia="仿宋_GB2312"/>
          <w:sz w:val="32"/>
          <w:szCs w:val="32"/>
          <w:lang w:val="zh-CN"/>
        </w:rPr>
        <w:t>项目申报内容与具体实施内容相符、申报目标合理可行。</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lang w:val="zh-CN"/>
        </w:rPr>
        <w:t>二、项目实施及管理情况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ab/>
      </w:r>
      <w:r>
        <w:rPr>
          <w:rFonts w:hint="eastAsia" w:ascii="楷体_GB2312" w:hAnsi="宋体" w:eastAsia="楷体_GB2312"/>
          <w:b/>
          <w:sz w:val="32"/>
          <w:szCs w:val="32"/>
          <w:lang w:val="zh-CN"/>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Theme="minorEastAsia" w:hAnsiTheme="minorEastAsia" w:eastAsiaTheme="minorEastAsia"/>
          <w:sz w:val="32"/>
          <w:szCs w:val="32"/>
          <w:lang w:val="zh-CN"/>
        </w:rPr>
        <w:t>1．</w:t>
      </w:r>
      <w:r>
        <w:rPr>
          <w:rFonts w:hint="eastAsia" w:ascii="仿宋_GB2312" w:hAnsi="宋体" w:eastAsia="仿宋_GB2312"/>
          <w:sz w:val="32"/>
          <w:szCs w:val="32"/>
          <w:lang w:val="zh-CN"/>
        </w:rPr>
        <w:t>资金计划及到位。该项目各类资金计划截止到评价时点均已到位，资金到位率100%，资金到位及时，满足资金计划的正常进行。</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2．资金使用。本年度实际支出数额为10.46万元，完成预算99.34%，与预算数基本持平，支付依据合法合规。</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单位针对项目资金建立了专门的财务管理制度，具备规范的财务部门和财务人员进行规范的会计核算和账务处理。按照项目资金管理办法的相关规定，该项目严格执行财务管理制度，财务处理及时，会计核算规范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adjustRightInd w:val="0"/>
        <w:snapToGrid w:val="0"/>
        <w:spacing w:line="600" w:lineRule="exact"/>
        <w:ind w:firstLine="640" w:firstLineChars="200"/>
        <w:rPr>
          <w:rFonts w:asciiTheme="minorEastAsia" w:hAnsiTheme="minorEastAsia" w:eastAsiaTheme="minorEastAsia"/>
          <w:sz w:val="32"/>
          <w:szCs w:val="32"/>
          <w:lang w:val="zh-CN"/>
        </w:rPr>
      </w:pPr>
      <w:r>
        <w:rPr>
          <w:rFonts w:hint="eastAsia" w:ascii="仿宋_GB2312" w:hAnsi="宋体" w:eastAsia="仿宋_GB2312"/>
          <w:sz w:val="32"/>
          <w:szCs w:val="32"/>
          <w:lang w:val="zh-CN"/>
        </w:rPr>
        <w:t>项目组织管理主要由各业务组、财务室和单位负责人组成，项目实施由各业务组申请，财务室审核，单位负责人监督并把控。</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lang w:val="zh-CN"/>
        </w:rPr>
        <w:t>三、项目绩效情况</w:t>
      </w:r>
      <w:r>
        <w:rPr>
          <w:rFonts w:hint="eastAsia" w:ascii="黑体" w:hAnsi="宋体" w:eastAsia="黑体"/>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pStyle w:val="2"/>
        <w:spacing w:before="93"/>
        <w:rPr>
          <w:rFonts w:hAnsi="宋体"/>
          <w:kern w:val="2"/>
          <w:sz w:val="32"/>
          <w:szCs w:val="32"/>
          <w:lang w:val="zh-CN"/>
        </w:rPr>
      </w:pPr>
      <w:r>
        <w:rPr>
          <w:rFonts w:hint="eastAsia" w:hAnsi="宋体"/>
          <w:kern w:val="2"/>
          <w:sz w:val="32"/>
          <w:szCs w:val="32"/>
          <w:lang w:val="zh-CN"/>
        </w:rPr>
        <w:t xml:space="preserve">    本年度该项目支出与预算基本持平，执行良好，严格控制不必要的支出，严格按照预算规划执行，实现了成本的有效控制。</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pStyle w:val="2"/>
        <w:spacing w:before="93"/>
        <w:ind w:firstLine="640" w:firstLineChars="200"/>
        <w:rPr>
          <w:rFonts w:hAnsi="宋体"/>
          <w:kern w:val="2"/>
          <w:sz w:val="32"/>
          <w:szCs w:val="32"/>
          <w:lang w:val="zh-CN"/>
        </w:rPr>
      </w:pPr>
      <w:r>
        <w:rPr>
          <w:rFonts w:hint="eastAsia" w:hAnsi="宋体"/>
          <w:kern w:val="2"/>
          <w:sz w:val="32"/>
          <w:szCs w:val="32"/>
          <w:lang w:val="zh-CN"/>
        </w:rPr>
        <w:t>通过该项目实施，提高了单位调研工作成效。是单位核心业务的体现，为整个商务系统的研究工作提供了支持和服务。</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lang w:val="zh-CN"/>
        </w:rPr>
        <w:t>四、问题及建议</w:t>
      </w:r>
    </w:p>
    <w:p>
      <w:pPr>
        <w:pStyle w:val="2"/>
        <w:spacing w:before="93"/>
        <w:ind w:firstLine="643" w:firstLineChars="200"/>
        <w:rPr>
          <w:rFonts w:hAnsi="宋体"/>
          <w:kern w:val="2"/>
          <w:sz w:val="32"/>
          <w:szCs w:val="32"/>
          <w:lang w:val="zh-CN"/>
        </w:rPr>
      </w:pPr>
      <w:r>
        <w:rPr>
          <w:rFonts w:hint="eastAsia" w:ascii="楷体_GB2312" w:hAnsi="宋体" w:eastAsia="楷体_GB2312"/>
          <w:b/>
          <w:sz w:val="32"/>
          <w:szCs w:val="32"/>
          <w:lang w:val="zh-CN"/>
        </w:rPr>
        <w:t>（一）存在的问题。</w:t>
      </w:r>
      <w:r>
        <w:rPr>
          <w:rFonts w:hint="eastAsia" w:hAnsi="宋体"/>
          <w:kern w:val="2"/>
          <w:sz w:val="32"/>
          <w:szCs w:val="32"/>
          <w:lang w:val="zh-CN"/>
        </w:rPr>
        <w:t>业务经费的各项开支没有归集到具体的科目进行核算，不利于日后核查。</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楷体_GB2312" w:hAnsi="宋体" w:eastAsia="楷体_GB2312"/>
          <w:b/>
          <w:kern w:val="0"/>
          <w:sz w:val="32"/>
          <w:szCs w:val="32"/>
          <w:lang w:val="zh-CN"/>
        </w:rPr>
        <w:t>（二）相关建议。</w:t>
      </w:r>
      <w:r>
        <w:rPr>
          <w:rFonts w:hint="eastAsia" w:ascii="仿宋_GB2312" w:hAnsi="宋体" w:eastAsia="仿宋_GB2312"/>
          <w:sz w:val="32"/>
          <w:szCs w:val="32"/>
          <w:lang w:val="zh-CN"/>
        </w:rPr>
        <w:t>将业务经费的各项开支归集到具体的科目，以便日后核查。</w:t>
      </w:r>
    </w:p>
    <w:p>
      <w:pPr>
        <w:spacing w:line="600" w:lineRule="exact"/>
        <w:jc w:val="center"/>
        <w:rPr>
          <w:rFonts w:asciiTheme="minorEastAsia" w:hAnsiTheme="minorEastAsia" w:eastAsiaTheme="minorEastAsia"/>
          <w:kern w:val="0"/>
          <w:sz w:val="32"/>
          <w:szCs w:val="32"/>
          <w:lang w:val="zh-CN"/>
        </w:rPr>
      </w:pPr>
    </w:p>
    <w:p>
      <w:pPr>
        <w:spacing w:line="600" w:lineRule="exact"/>
        <w:jc w:val="center"/>
        <w:rPr>
          <w:rFonts w:asciiTheme="minorEastAsia" w:hAnsiTheme="minorEastAsia" w:eastAsiaTheme="minorEastAsia"/>
          <w:kern w:val="0"/>
          <w:sz w:val="32"/>
          <w:szCs w:val="32"/>
          <w:lang w:val="zh-CN"/>
        </w:rPr>
      </w:pPr>
    </w:p>
    <w:p>
      <w:pPr>
        <w:pStyle w:val="2"/>
        <w:spacing w:before="93"/>
        <w:rPr>
          <w:lang w:val="zh-CN"/>
        </w:rPr>
      </w:pPr>
    </w:p>
    <w:p>
      <w:pPr>
        <w:spacing w:line="600" w:lineRule="exact"/>
        <w:jc w:val="center"/>
        <w:rPr>
          <w:rFonts w:ascii="方正小标宋简体" w:hAnsi="宋体" w:eastAsia="方正小标宋简体"/>
          <w:kern w:val="0"/>
          <w:sz w:val="44"/>
          <w:szCs w:val="44"/>
          <w:lang w:val="zh-CN"/>
        </w:rPr>
      </w:pPr>
      <w:r>
        <w:rPr>
          <w:rFonts w:hint="eastAsia" w:ascii="方正小标宋简体" w:hAnsi="宋体" w:eastAsia="方正小标宋简体"/>
          <w:kern w:val="0"/>
          <w:sz w:val="44"/>
          <w:szCs w:val="44"/>
          <w:lang w:val="zh-CN"/>
        </w:rPr>
        <w:t>2020年四川省国际经济贸易研究所</w:t>
      </w:r>
    </w:p>
    <w:p>
      <w:pPr>
        <w:spacing w:line="600" w:lineRule="exact"/>
        <w:jc w:val="center"/>
        <w:rPr>
          <w:rFonts w:ascii="方正小标宋简体" w:hAnsi="宋体" w:eastAsia="方正小标宋简体"/>
          <w:kern w:val="0"/>
          <w:sz w:val="44"/>
          <w:szCs w:val="44"/>
          <w:lang w:val="zh-CN"/>
        </w:rPr>
      </w:pPr>
      <w:r>
        <w:rPr>
          <w:rFonts w:hint="eastAsia" w:ascii="方正小标宋简体" w:hAnsi="宋体" w:eastAsia="方正小标宋简体"/>
          <w:kern w:val="0"/>
          <w:sz w:val="44"/>
          <w:szCs w:val="44"/>
          <w:lang w:val="zh-CN"/>
        </w:rPr>
        <w:t>租赁费项目支出绩效自评报告</w:t>
      </w:r>
    </w:p>
    <w:p>
      <w:pPr>
        <w:spacing w:line="600" w:lineRule="exact"/>
        <w:jc w:val="center"/>
        <w:rPr>
          <w:rFonts w:ascii="方正小标宋简体" w:hAnsi="宋体" w:eastAsia="方正小标宋简体"/>
          <w:kern w:val="0"/>
          <w:sz w:val="44"/>
          <w:szCs w:val="44"/>
          <w:lang w:val="zh-CN"/>
        </w:rPr>
      </w:pPr>
      <w:r>
        <w:rPr>
          <w:rFonts w:hint="eastAsia" w:ascii="方正小标宋简体" w:hAnsi="宋体" w:eastAsia="方正小标宋简体"/>
          <w:kern w:val="0"/>
          <w:sz w:val="44"/>
          <w:szCs w:val="44"/>
          <w:lang w:val="zh-CN"/>
        </w:rPr>
        <w:t>（项目单位自评）</w:t>
      </w:r>
    </w:p>
    <w:p>
      <w:pPr>
        <w:spacing w:line="600" w:lineRule="exact"/>
        <w:ind w:firstLine="640"/>
        <w:jc w:val="center"/>
        <w:rPr>
          <w:rFonts w:asciiTheme="minorEastAsia" w:hAnsiTheme="minorEastAsia" w:eastAsiaTheme="minorEastAsia"/>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lang w:val="zh-CN"/>
        </w:rPr>
        <w:t>一、项目概况</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（一）项目资金申报及批复情况。</w:t>
      </w:r>
      <w:r>
        <w:rPr>
          <w:rFonts w:hint="eastAsia" w:ascii="仿宋_GB2312" w:hAnsi="宋体" w:eastAsia="仿宋_GB2312"/>
          <w:sz w:val="32"/>
          <w:szCs w:val="32"/>
          <w:lang w:val="zh-CN"/>
        </w:rPr>
        <w:t>项目资金申报和批复数均为13万，无调整，符合资金管理办法等相关规定。</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r>
        <w:rPr>
          <w:rFonts w:hint="eastAsia" w:ascii="仿宋_GB2312" w:hAnsi="宋体" w:eastAsia="仿宋_GB2312"/>
          <w:sz w:val="32"/>
          <w:szCs w:val="32"/>
          <w:lang w:val="zh-CN"/>
        </w:rPr>
        <w:t xml:space="preserve">该项目计划用于单位租赁光大金融中心作为办公楼的费用，数额控制在13万以内，实施进度按照租赁合同规定安排。 </w:t>
      </w:r>
      <w:r>
        <w:rPr>
          <w:rFonts w:hint="eastAsia" w:asciiTheme="minorEastAsia" w:hAnsiTheme="minorEastAsia" w:eastAsiaTheme="minorEastAsia"/>
          <w:sz w:val="32"/>
          <w:szCs w:val="32"/>
          <w:lang w:val="zh-CN"/>
        </w:rPr>
        <w:t xml:space="preserve">   </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（三）项目资金申报相符性。</w:t>
      </w:r>
      <w:r>
        <w:rPr>
          <w:rFonts w:hint="eastAsia" w:ascii="仿宋_GB2312" w:hAnsi="宋体" w:eastAsia="仿宋_GB2312"/>
          <w:sz w:val="32"/>
          <w:szCs w:val="32"/>
          <w:lang w:val="zh-CN"/>
        </w:rPr>
        <w:t>项目申报内容与具体实施内容相符、申报目标合理可行。</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lang w:val="zh-CN"/>
        </w:rPr>
        <w:t>二、项目实施及管理情况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ab/>
      </w:r>
      <w:r>
        <w:rPr>
          <w:rFonts w:hint="eastAsia" w:ascii="楷体_GB2312" w:hAnsi="宋体" w:eastAsia="楷体_GB2312"/>
          <w:b/>
          <w:sz w:val="32"/>
          <w:szCs w:val="32"/>
          <w:lang w:val="zh-CN"/>
        </w:rPr>
        <w:t>（一）资金计划、到位及使用情况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1．资金计划及到位。该项目各类资金计划截止到评价时点均已到位，资金到位率100%，资金到位及时，满足资金计划的正常进行。</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2．资金使用。该项目实际支出数为12.08万元，完成预算98.69%，与预算数基本持平，支付依据合法合规。</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单位针对项目资金建立了专门的财务管理制度，具备规范的财务部门和财务人员进行规范的会计核算和账务处理。按照项目资金管理办法的相关规定，该项目严格执行财务管理制度，财务处理及时，会计核算规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项目组织管理主要由办公室、财务室和单位负责人组成，项目实施由办公室根据合同规定申请，财务室审核，单位负责人监督并把控。</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lang w:val="zh-CN"/>
        </w:rPr>
        <w:t>三、项目绩效情况</w:t>
      </w:r>
      <w:r>
        <w:rPr>
          <w:rFonts w:hint="eastAsia" w:ascii="黑体" w:hAnsi="宋体" w:eastAsia="黑体"/>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本年度该项目支出与预算基本持平，执行良好，严格控制不必要的支出，严格按照预算规划执行，实现了成本的有效控制。</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640" w:firstLineChars="200"/>
        <w:rPr>
          <w:rFonts w:asciiTheme="minorEastAsia" w:hAnsiTheme="minorEastAsia" w:eastAsiaTheme="minorEastAsia"/>
          <w:sz w:val="32"/>
          <w:szCs w:val="32"/>
          <w:lang w:val="zh-CN"/>
        </w:rPr>
      </w:pPr>
      <w:r>
        <w:rPr>
          <w:rFonts w:hint="eastAsia" w:ascii="仿宋_GB2312" w:hAnsi="宋体" w:eastAsia="仿宋_GB2312"/>
          <w:sz w:val="32"/>
          <w:szCs w:val="32"/>
          <w:lang w:val="zh-CN"/>
        </w:rPr>
        <w:t>该项目为单位的工作和业务提供了后勤保障，本着不铺张浪费和不大兴修建的目的，以租赁的形式进行替代。</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lang w:val="zh-CN"/>
        </w:rPr>
        <w:t>四、问题及建议</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（一）存在的问题</w:t>
      </w:r>
      <w:r>
        <w:rPr>
          <w:rFonts w:hint="eastAsia" w:ascii="仿宋_GB2312" w:hAnsi="宋体" w:eastAsia="仿宋_GB2312"/>
          <w:sz w:val="32"/>
          <w:szCs w:val="32"/>
          <w:lang w:val="zh-CN"/>
        </w:rPr>
        <w:t>。该合同业务标的过高，加重了单位的成本开支。</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（二）相关建议</w:t>
      </w:r>
      <w:r>
        <w:rPr>
          <w:rFonts w:hint="eastAsia" w:asciiTheme="minorEastAsia" w:hAnsiTheme="minorEastAsia" w:eastAsiaTheme="minorEastAsia"/>
          <w:b/>
          <w:sz w:val="32"/>
          <w:szCs w:val="32"/>
          <w:lang w:val="zh-CN"/>
        </w:rPr>
        <w:t>。</w:t>
      </w:r>
      <w:r>
        <w:rPr>
          <w:rFonts w:hint="eastAsia" w:ascii="仿宋_GB2312" w:hAnsi="宋体" w:eastAsia="仿宋_GB2312"/>
          <w:sz w:val="32"/>
          <w:szCs w:val="32"/>
          <w:lang w:val="zh-CN"/>
        </w:rPr>
        <w:t>积极联系其他出租方，尽可能降低租赁费支出。</w:t>
      </w:r>
    </w:p>
    <w:p>
      <w:pPr>
        <w:pStyle w:val="2"/>
        <w:spacing w:before="93"/>
        <w:rPr>
          <w:lang w:val="zh-CN"/>
        </w:rPr>
      </w:pPr>
    </w:p>
    <w:p>
      <w:pPr>
        <w:pStyle w:val="2"/>
        <w:spacing w:before="93"/>
        <w:rPr>
          <w:lang w:val="zh-CN"/>
        </w:rPr>
      </w:pPr>
    </w:p>
    <w:p>
      <w:pPr>
        <w:pStyle w:val="2"/>
        <w:spacing w:before="93"/>
        <w:rPr>
          <w:lang w:val="zh-CN"/>
        </w:rPr>
      </w:pPr>
    </w:p>
    <w:p>
      <w:pPr>
        <w:pStyle w:val="2"/>
        <w:spacing w:before="93"/>
      </w:pPr>
    </w:p>
    <w:p>
      <w:pPr>
        <w:spacing w:line="600" w:lineRule="exact"/>
        <w:jc w:val="center"/>
        <w:rPr>
          <w:rFonts w:ascii="方正小标宋简体" w:hAnsi="宋体" w:eastAsia="方正小标宋简体"/>
          <w:kern w:val="0"/>
          <w:sz w:val="44"/>
          <w:szCs w:val="44"/>
          <w:lang w:val="zh-CN"/>
        </w:rPr>
      </w:pPr>
      <w:r>
        <w:rPr>
          <w:rFonts w:hint="eastAsia" w:ascii="方正小标宋简体" w:hAnsi="宋体" w:eastAsia="方正小标宋简体"/>
          <w:kern w:val="0"/>
          <w:sz w:val="44"/>
          <w:szCs w:val="44"/>
          <w:lang w:val="zh-CN"/>
        </w:rPr>
        <w:t>2020年四川省国际经济贸易研究所</w:t>
      </w:r>
    </w:p>
    <w:p>
      <w:pPr>
        <w:spacing w:line="600" w:lineRule="exact"/>
        <w:jc w:val="center"/>
        <w:rPr>
          <w:rFonts w:ascii="方正小标宋简体" w:hAnsi="宋体" w:eastAsia="方正小标宋简体"/>
          <w:kern w:val="0"/>
          <w:sz w:val="44"/>
          <w:szCs w:val="44"/>
          <w:lang w:val="zh-CN"/>
        </w:rPr>
      </w:pPr>
      <w:r>
        <w:rPr>
          <w:rFonts w:hint="eastAsia" w:ascii="方正小标宋简体" w:hAnsi="宋体" w:eastAsia="方正小标宋简体"/>
          <w:kern w:val="0"/>
          <w:sz w:val="44"/>
          <w:szCs w:val="44"/>
          <w:lang w:val="zh-CN"/>
        </w:rPr>
        <w:t>物业管理费项目支出绩效自评报告</w:t>
      </w:r>
    </w:p>
    <w:p>
      <w:pPr>
        <w:spacing w:line="600" w:lineRule="exact"/>
        <w:jc w:val="center"/>
        <w:rPr>
          <w:rFonts w:ascii="方正小标宋简体" w:hAnsi="宋体" w:eastAsia="方正小标宋简体"/>
          <w:kern w:val="0"/>
          <w:sz w:val="44"/>
          <w:szCs w:val="44"/>
          <w:lang w:val="zh-CN"/>
        </w:rPr>
      </w:pPr>
      <w:r>
        <w:rPr>
          <w:rFonts w:hint="eastAsia" w:ascii="方正小标宋简体" w:hAnsi="宋体" w:eastAsia="方正小标宋简体"/>
          <w:kern w:val="0"/>
          <w:sz w:val="44"/>
          <w:szCs w:val="44"/>
          <w:lang w:val="zh-CN"/>
        </w:rPr>
        <w:t>（项目单位自评）</w:t>
      </w:r>
    </w:p>
    <w:p>
      <w:pPr>
        <w:spacing w:line="600" w:lineRule="exact"/>
        <w:ind w:firstLine="640"/>
        <w:jc w:val="center"/>
        <w:rPr>
          <w:rFonts w:asciiTheme="minorEastAsia" w:hAnsiTheme="minorEastAsia" w:eastAsiaTheme="minorEastAsia"/>
          <w:sz w:val="32"/>
          <w:szCs w:val="32"/>
          <w:lang w:val="zh-CN"/>
        </w:rPr>
      </w:pP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lang w:val="zh-CN"/>
        </w:rPr>
        <w:t>一、项目概况</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（一）项目资金申报及批复情况。</w:t>
      </w:r>
      <w:r>
        <w:rPr>
          <w:rFonts w:hint="eastAsia" w:ascii="仿宋_GB2312" w:hAnsi="宋体" w:eastAsia="仿宋_GB2312"/>
          <w:sz w:val="32"/>
          <w:szCs w:val="32"/>
          <w:lang w:val="zh-CN"/>
        </w:rPr>
        <w:t>项目资金申报和批复数均为10万，无调整，符合资金管理办法等相关规定。</w:t>
      </w:r>
    </w:p>
    <w:p>
      <w:pPr>
        <w:adjustRightInd w:val="0"/>
        <w:snapToGrid w:val="0"/>
        <w:spacing w:line="600" w:lineRule="exact"/>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r>
        <w:rPr>
          <w:rFonts w:hint="eastAsia" w:ascii="仿宋_GB2312" w:hAnsi="宋体" w:eastAsia="仿宋_GB2312"/>
          <w:sz w:val="32"/>
          <w:szCs w:val="32"/>
          <w:lang w:val="zh-CN"/>
        </w:rPr>
        <w:t>该项目支出控制在10万以内，实施进度按照每月均摊累计进行。</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（三）项目资金申报相符性。</w:t>
      </w:r>
      <w:r>
        <w:rPr>
          <w:rFonts w:hint="eastAsia" w:ascii="仿宋_GB2312" w:hAnsi="宋体" w:eastAsia="仿宋_GB2312"/>
          <w:sz w:val="32"/>
          <w:szCs w:val="32"/>
          <w:lang w:val="zh-CN"/>
        </w:rPr>
        <w:t>项目申报内容与具体实施内容相符、申报目标合理可行。</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lang w:val="zh-CN"/>
        </w:rPr>
        <w:t>二、项目实施及管理情况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ab/>
      </w:r>
      <w:r>
        <w:rPr>
          <w:rFonts w:hint="eastAsia" w:ascii="楷体_GB2312" w:hAnsi="宋体" w:eastAsia="楷体_GB2312"/>
          <w:b/>
          <w:sz w:val="32"/>
          <w:szCs w:val="32"/>
          <w:lang w:val="zh-CN"/>
        </w:rPr>
        <w:t>（一）资金计划、到位及使用情况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1．资金计划及到位。该项目各类资金计划截止到评价时点均已到位，资金到位率100%，资金到位及时，满足资金计划的正常进行。</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2．资金使用。本年度实际支出数为5.81万元，完成预算58.1%，支出数小于预算数的主要原因是本年年中办公地址搬迁，原办公地址的物管费暂停支付。支付依据合法合规。</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单位针对项目资金建立了专门的财务管理制度，具备规范的财务部门和财务人员进行规范的会计核算和账务处理。按照项目资金管理办法的相关规定，该项目严格执行财务管理制度，财务处理及时，会计核算规范。</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项目组织管理主要由办公室、财务室和单位负责人组成，项目实施由办公室申请，财务室审核，单位负责人监督并把控。</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lang w:val="zh-CN"/>
        </w:rPr>
        <w:t>三、项目绩效情况</w:t>
      </w:r>
      <w:r>
        <w:rPr>
          <w:rFonts w:hint="eastAsia" w:ascii="黑体" w:hAnsi="宋体" w:eastAsia="黑体"/>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本年度该项目支出由于办公地址搬迁，原办公地址的物管费暂停支付，影响该项目的完成进度，仅完成了预算的58.1%。</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600" w:lineRule="exact"/>
        <w:ind w:firstLine="640" w:firstLineChars="200"/>
        <w:rPr>
          <w:rFonts w:asciiTheme="minorEastAsia" w:hAnsiTheme="minorEastAsia" w:eastAsiaTheme="minorEastAsia"/>
          <w:sz w:val="32"/>
          <w:szCs w:val="32"/>
          <w:lang w:val="zh-CN"/>
        </w:rPr>
      </w:pPr>
      <w:r>
        <w:rPr>
          <w:rFonts w:hint="eastAsia" w:ascii="仿宋_GB2312" w:hAnsi="宋体" w:eastAsia="仿宋_GB2312"/>
          <w:sz w:val="32"/>
          <w:szCs w:val="32"/>
          <w:lang w:val="zh-CN"/>
        </w:rPr>
        <w:t>本年度该项目为单位工作提供后勤保障，优化了办公环境。</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lang w:val="zh-CN"/>
        </w:rPr>
        <w:t>四、问题及建议</w:t>
      </w:r>
    </w:p>
    <w:p>
      <w:pPr>
        <w:adjustRightInd w:val="0"/>
        <w:snapToGrid w:val="0"/>
        <w:spacing w:line="600" w:lineRule="exact"/>
        <w:ind w:firstLine="720"/>
        <w:rPr>
          <w:rFonts w:ascii="仿宋_GB2312" w:hAnsi="宋体" w:eastAsia="仿宋_GB2312"/>
          <w:sz w:val="32"/>
          <w:szCs w:val="32"/>
          <w:lang w:val="zh-CN"/>
        </w:rPr>
      </w:pPr>
      <w:r>
        <w:rPr>
          <w:rFonts w:hint="eastAsia" w:ascii="楷体_GB2312" w:hAnsi="宋体" w:eastAsia="楷体_GB2312"/>
          <w:b/>
          <w:sz w:val="32"/>
          <w:szCs w:val="32"/>
          <w:lang w:val="zh-CN"/>
        </w:rPr>
        <w:t>（一）存在的问题。</w:t>
      </w:r>
      <w:r>
        <w:rPr>
          <w:rFonts w:hint="eastAsia" w:ascii="仿宋_GB2312" w:hAnsi="宋体" w:eastAsia="仿宋_GB2312"/>
          <w:sz w:val="32"/>
          <w:szCs w:val="32"/>
          <w:lang w:val="zh-CN"/>
        </w:rPr>
        <w:t>因办公地址搬迁，原办公地址的物管费暂定支付，造成本项目的执行进度缓慢。</w:t>
      </w:r>
    </w:p>
    <w:p>
      <w:pPr>
        <w:adjustRightInd w:val="0"/>
        <w:snapToGrid w:val="0"/>
        <w:spacing w:line="600" w:lineRule="exact"/>
        <w:ind w:firstLine="643" w:firstLineChars="200"/>
        <w:rPr>
          <w:rFonts w:ascii="仿宋_GB2312" w:hAnsi="宋体" w:eastAsia="仿宋_GB2312"/>
          <w:sz w:val="32"/>
          <w:szCs w:val="32"/>
          <w:lang w:val="zh-CN"/>
        </w:rPr>
      </w:pPr>
      <w:r>
        <w:rPr>
          <w:rFonts w:hint="eastAsia" w:ascii="楷体_GB2312" w:hAnsi="宋体" w:eastAsia="楷体_GB2312"/>
          <w:b/>
          <w:sz w:val="32"/>
          <w:szCs w:val="32"/>
          <w:lang w:val="zh-CN"/>
        </w:rPr>
        <w:t>（二）相关建议。</w:t>
      </w:r>
      <w:r>
        <w:rPr>
          <w:rFonts w:hint="eastAsia" w:ascii="仿宋_GB2312" w:hAnsi="宋体" w:eastAsia="仿宋_GB2312"/>
          <w:sz w:val="32"/>
          <w:szCs w:val="32"/>
          <w:lang w:val="zh-CN"/>
        </w:rPr>
        <w:t>以新办公地址的实际物管费为基础来编制来年的预算。</w:t>
      </w:r>
    </w:p>
    <w:p>
      <w:pPr>
        <w:pStyle w:val="2"/>
        <w:spacing w:before="93"/>
        <w:rPr>
          <w:rFonts w:asciiTheme="minorEastAsia" w:hAnsiTheme="minorEastAsia" w:eastAsiaTheme="minorEastAsia"/>
          <w:sz w:val="32"/>
          <w:szCs w:val="32"/>
          <w:lang w:val="zh-CN"/>
        </w:rPr>
      </w:pPr>
    </w:p>
    <w:bookmarkEnd w:id="85"/>
    <w:p>
      <w:pPr>
        <w:spacing w:line="600" w:lineRule="exact"/>
        <w:outlineLvl w:val="0"/>
        <w:rPr>
          <w:rFonts w:hint="eastAsia" w:ascii="仿宋" w:hAnsi="仿宋" w:eastAsia="仿宋"/>
          <w:color w:val="000000"/>
        </w:rPr>
      </w:pPr>
      <w:bookmarkStart w:id="88" w:name="_Toc15396619"/>
    </w:p>
    <w:p>
      <w:pPr>
        <w:pStyle w:val="2"/>
        <w:spacing w:before="93"/>
      </w:pPr>
    </w:p>
    <w:bookmarkEnd w:id="88"/>
    <w:p>
      <w:pPr>
        <w:rPr>
          <w:rFonts w:ascii="仿宋" w:hAnsi="仿宋" w:eastAsia="仿宋"/>
          <w:sz w:val="32"/>
          <w:szCs w:val="32"/>
        </w:rPr>
      </w:pPr>
    </w:p>
    <w:p>
      <w:pPr>
        <w:spacing w:line="600" w:lineRule="exact"/>
        <w:jc w:val="center"/>
        <w:outlineLvl w:val="0"/>
        <w:rPr>
          <w:rStyle w:val="24"/>
          <w:rFonts w:ascii="黑体" w:hAnsi="黑体"/>
        </w:rPr>
      </w:pPr>
      <w:bookmarkStart w:id="89" w:name="_Toc15396618"/>
      <w:bookmarkStart w:id="90" w:name="_Toc17722"/>
      <w:r>
        <w:rPr>
          <w:rFonts w:hint="eastAsia" w:ascii="黑体" w:hAnsi="黑体" w:eastAsia="黑体"/>
          <w:color w:val="000000"/>
          <w:sz w:val="44"/>
          <w:szCs w:val="44"/>
        </w:rPr>
        <w:t>第</w:t>
      </w:r>
      <w:r>
        <w:rPr>
          <w:rStyle w:val="24"/>
          <w:rFonts w:hint="eastAsia" w:ascii="黑体" w:hAnsi="黑体"/>
        </w:rPr>
        <w:t>五部分 附表</w:t>
      </w:r>
      <w:bookmarkEnd w:id="89"/>
      <w:bookmarkEnd w:id="90"/>
    </w:p>
    <w:p>
      <w:pPr>
        <w:pStyle w:val="4"/>
        <w:spacing w:line="415" w:lineRule="auto"/>
        <w:ind w:firstLine="0" w:firstLineChars="0"/>
        <w:jc w:val="both"/>
        <w:rPr>
          <w:rFonts w:hint="eastAsia" w:ascii="黑体" w:hAnsi="黑体" w:eastAsia="黑体" w:cs="黑体"/>
          <w:bCs w:val="0"/>
          <w:kern w:val="2"/>
          <w:sz w:val="32"/>
          <w:szCs w:val="32"/>
          <w:lang w:val="zh-CN" w:eastAsia="zh-CN" w:bidi="ar-SA"/>
        </w:rPr>
      </w:pPr>
      <w:bookmarkStart w:id="91" w:name="_Toc32161"/>
      <w:r>
        <w:rPr>
          <w:rFonts w:hint="eastAsia" w:ascii="黑体" w:hAnsi="黑体" w:eastAsia="黑体" w:cs="黑体"/>
          <w:bCs w:val="0"/>
          <w:kern w:val="2"/>
          <w:sz w:val="32"/>
          <w:szCs w:val="32"/>
          <w:lang w:val="zh-CN" w:eastAsia="zh-CN" w:bidi="ar-SA"/>
        </w:rPr>
        <w:t>一、收入支出决算总表</w:t>
      </w:r>
      <w:bookmarkEnd w:id="91"/>
      <w:r>
        <w:rPr>
          <w:rFonts w:hint="eastAsia" w:ascii="黑体" w:hAnsi="黑体" w:eastAsia="黑体" w:cs="黑体"/>
          <w:bCs w:val="0"/>
          <w:kern w:val="2"/>
          <w:sz w:val="32"/>
          <w:szCs w:val="32"/>
          <w:lang w:val="zh-CN" w:eastAsia="zh-CN" w:bidi="ar-SA"/>
        </w:rPr>
        <w:tab/>
      </w:r>
    </w:p>
    <w:p>
      <w:pPr>
        <w:pStyle w:val="4"/>
        <w:spacing w:line="415" w:lineRule="auto"/>
        <w:ind w:firstLine="0" w:firstLineChars="0"/>
        <w:jc w:val="both"/>
        <w:rPr>
          <w:rFonts w:hint="eastAsia" w:ascii="黑体" w:hAnsi="黑体" w:eastAsia="黑体" w:cs="黑体"/>
          <w:bCs w:val="0"/>
          <w:kern w:val="2"/>
          <w:sz w:val="32"/>
          <w:szCs w:val="32"/>
          <w:lang w:val="zh-CN" w:eastAsia="zh-CN" w:bidi="ar-SA"/>
        </w:rPr>
      </w:pPr>
      <w:bookmarkStart w:id="92" w:name="_Toc15396620"/>
      <w:bookmarkStart w:id="93" w:name="_Toc18837"/>
      <w:r>
        <w:rPr>
          <w:rFonts w:hint="eastAsia" w:ascii="黑体" w:hAnsi="黑体" w:eastAsia="黑体" w:cs="黑体"/>
          <w:bCs w:val="0"/>
          <w:kern w:val="2"/>
          <w:sz w:val="32"/>
          <w:szCs w:val="32"/>
          <w:lang w:val="zh-CN" w:eastAsia="zh-CN" w:bidi="ar-SA"/>
        </w:rPr>
        <w:t>二、收入决算表</w:t>
      </w:r>
      <w:bookmarkEnd w:id="92"/>
      <w:bookmarkEnd w:id="93"/>
    </w:p>
    <w:p>
      <w:pPr>
        <w:pStyle w:val="4"/>
        <w:spacing w:line="415" w:lineRule="auto"/>
        <w:ind w:firstLine="0" w:firstLineChars="0"/>
        <w:jc w:val="both"/>
        <w:rPr>
          <w:rFonts w:hint="eastAsia" w:ascii="黑体" w:hAnsi="黑体" w:eastAsia="黑体" w:cs="黑体"/>
          <w:bCs w:val="0"/>
          <w:kern w:val="2"/>
          <w:sz w:val="32"/>
          <w:szCs w:val="32"/>
          <w:lang w:val="zh-CN" w:eastAsia="zh-CN" w:bidi="ar-SA"/>
        </w:rPr>
      </w:pPr>
      <w:bookmarkStart w:id="94" w:name="_Toc17138"/>
      <w:r>
        <w:rPr>
          <w:rFonts w:hint="eastAsia" w:ascii="黑体" w:hAnsi="黑体" w:eastAsia="黑体" w:cs="黑体"/>
          <w:bCs w:val="0"/>
          <w:kern w:val="2"/>
          <w:sz w:val="32"/>
          <w:szCs w:val="32"/>
          <w:lang w:val="zh-CN" w:eastAsia="zh-CN" w:bidi="ar-SA"/>
        </w:rPr>
        <w:t>三、支出决算表</w:t>
      </w:r>
      <w:bookmarkEnd w:id="94"/>
    </w:p>
    <w:p>
      <w:pPr>
        <w:pStyle w:val="4"/>
        <w:spacing w:line="415" w:lineRule="auto"/>
        <w:ind w:firstLine="0" w:firstLineChars="0"/>
        <w:jc w:val="both"/>
        <w:rPr>
          <w:rFonts w:hint="eastAsia" w:ascii="黑体" w:hAnsi="黑体" w:eastAsia="黑体" w:cs="黑体"/>
          <w:bCs w:val="0"/>
          <w:kern w:val="2"/>
          <w:sz w:val="32"/>
          <w:szCs w:val="32"/>
          <w:lang w:val="zh-CN" w:eastAsia="zh-CN" w:bidi="ar-SA"/>
        </w:rPr>
      </w:pPr>
      <w:bookmarkStart w:id="95" w:name="_Toc18717"/>
      <w:r>
        <w:rPr>
          <w:rFonts w:hint="eastAsia" w:ascii="黑体" w:hAnsi="黑体" w:eastAsia="黑体" w:cs="黑体"/>
          <w:bCs w:val="0"/>
          <w:kern w:val="2"/>
          <w:sz w:val="32"/>
          <w:szCs w:val="32"/>
          <w:lang w:val="zh-CN" w:eastAsia="zh-CN" w:bidi="ar-SA"/>
        </w:rPr>
        <w:t>四、财政拨款收入支出决算总表</w:t>
      </w:r>
      <w:bookmarkEnd w:id="95"/>
    </w:p>
    <w:p>
      <w:pPr>
        <w:pStyle w:val="4"/>
        <w:spacing w:line="415" w:lineRule="auto"/>
        <w:ind w:firstLine="0" w:firstLineChars="0"/>
        <w:jc w:val="both"/>
        <w:rPr>
          <w:rFonts w:hint="eastAsia" w:ascii="黑体" w:hAnsi="黑体" w:eastAsia="黑体" w:cs="黑体"/>
          <w:bCs w:val="0"/>
          <w:kern w:val="2"/>
          <w:sz w:val="32"/>
          <w:szCs w:val="32"/>
          <w:lang w:val="zh-CN" w:eastAsia="zh-CN" w:bidi="ar-SA"/>
        </w:rPr>
      </w:pPr>
      <w:bookmarkStart w:id="96" w:name="_Toc516"/>
      <w:r>
        <w:rPr>
          <w:rFonts w:hint="eastAsia" w:ascii="黑体" w:hAnsi="黑体" w:eastAsia="黑体" w:cs="黑体"/>
          <w:bCs w:val="0"/>
          <w:kern w:val="2"/>
          <w:sz w:val="32"/>
          <w:szCs w:val="32"/>
          <w:lang w:val="zh-CN" w:eastAsia="zh-CN" w:bidi="ar-SA"/>
        </w:rPr>
        <w:t>五、财政拨款支出决算明细表</w:t>
      </w:r>
      <w:bookmarkEnd w:id="96"/>
    </w:p>
    <w:p>
      <w:pPr>
        <w:pStyle w:val="4"/>
        <w:spacing w:line="415" w:lineRule="auto"/>
        <w:ind w:firstLine="0" w:firstLineChars="0"/>
        <w:jc w:val="both"/>
        <w:rPr>
          <w:rFonts w:hint="eastAsia" w:ascii="黑体" w:hAnsi="黑体" w:eastAsia="黑体" w:cs="黑体"/>
          <w:bCs w:val="0"/>
          <w:kern w:val="2"/>
          <w:sz w:val="32"/>
          <w:szCs w:val="32"/>
          <w:lang w:val="zh-CN" w:eastAsia="zh-CN" w:bidi="ar-SA"/>
        </w:rPr>
      </w:pPr>
      <w:bookmarkStart w:id="97" w:name="_Toc20106"/>
      <w:r>
        <w:rPr>
          <w:rFonts w:hint="eastAsia" w:ascii="黑体" w:hAnsi="黑体" w:eastAsia="黑体" w:cs="黑体"/>
          <w:bCs w:val="0"/>
          <w:kern w:val="2"/>
          <w:sz w:val="32"/>
          <w:szCs w:val="32"/>
          <w:lang w:val="zh-CN" w:eastAsia="zh-CN" w:bidi="ar-SA"/>
        </w:rPr>
        <w:t>六、一般公共预算财政拨款支出决算表</w:t>
      </w:r>
      <w:bookmarkEnd w:id="97"/>
    </w:p>
    <w:p>
      <w:pPr>
        <w:pStyle w:val="4"/>
        <w:spacing w:line="415" w:lineRule="auto"/>
        <w:ind w:firstLine="0" w:firstLineChars="0"/>
        <w:jc w:val="both"/>
        <w:rPr>
          <w:rFonts w:hint="eastAsia" w:ascii="黑体" w:hAnsi="黑体" w:eastAsia="黑体" w:cs="黑体"/>
          <w:bCs w:val="0"/>
          <w:kern w:val="2"/>
          <w:sz w:val="32"/>
          <w:szCs w:val="32"/>
          <w:lang w:val="zh-CN" w:eastAsia="zh-CN" w:bidi="ar-SA"/>
        </w:rPr>
      </w:pPr>
      <w:bookmarkStart w:id="98" w:name="_Toc14075"/>
      <w:r>
        <w:rPr>
          <w:rFonts w:hint="eastAsia" w:ascii="黑体" w:hAnsi="黑体" w:eastAsia="黑体" w:cs="黑体"/>
          <w:bCs w:val="0"/>
          <w:kern w:val="2"/>
          <w:sz w:val="32"/>
          <w:szCs w:val="32"/>
          <w:lang w:val="zh-CN" w:eastAsia="zh-CN" w:bidi="ar-SA"/>
        </w:rPr>
        <w:t>七、一般公共预算财政拨款支出决算明细表</w:t>
      </w:r>
      <w:bookmarkEnd w:id="98"/>
    </w:p>
    <w:p>
      <w:pPr>
        <w:pStyle w:val="4"/>
        <w:spacing w:line="415" w:lineRule="auto"/>
        <w:ind w:firstLine="0" w:firstLineChars="0"/>
        <w:jc w:val="both"/>
        <w:rPr>
          <w:rFonts w:hint="eastAsia" w:ascii="黑体" w:hAnsi="黑体" w:eastAsia="黑体" w:cs="黑体"/>
          <w:bCs w:val="0"/>
          <w:kern w:val="2"/>
          <w:sz w:val="32"/>
          <w:szCs w:val="32"/>
          <w:lang w:val="zh-CN" w:eastAsia="zh-CN" w:bidi="ar-SA"/>
        </w:rPr>
      </w:pPr>
      <w:bookmarkStart w:id="99" w:name="_Toc14474"/>
      <w:r>
        <w:rPr>
          <w:rFonts w:hint="eastAsia" w:ascii="黑体" w:hAnsi="黑体" w:eastAsia="黑体" w:cs="黑体"/>
          <w:bCs w:val="0"/>
          <w:kern w:val="2"/>
          <w:sz w:val="32"/>
          <w:szCs w:val="32"/>
          <w:lang w:val="zh-CN" w:eastAsia="zh-CN" w:bidi="ar-SA"/>
        </w:rPr>
        <w:t>八、一般公共预算财政拨款基本支出决算表</w:t>
      </w:r>
      <w:bookmarkEnd w:id="99"/>
    </w:p>
    <w:p>
      <w:pPr>
        <w:pStyle w:val="4"/>
        <w:spacing w:line="415" w:lineRule="auto"/>
        <w:ind w:firstLine="0" w:firstLineChars="0"/>
        <w:jc w:val="both"/>
        <w:rPr>
          <w:rFonts w:hint="eastAsia" w:ascii="黑体" w:hAnsi="黑体" w:eastAsia="黑体" w:cs="黑体"/>
          <w:bCs w:val="0"/>
          <w:kern w:val="2"/>
          <w:sz w:val="32"/>
          <w:szCs w:val="32"/>
          <w:lang w:val="zh-CN" w:eastAsia="zh-CN" w:bidi="ar-SA"/>
        </w:rPr>
      </w:pPr>
      <w:bookmarkStart w:id="100" w:name="_Toc21607"/>
      <w:r>
        <w:rPr>
          <w:rFonts w:hint="eastAsia" w:ascii="黑体" w:hAnsi="黑体" w:eastAsia="黑体" w:cs="黑体"/>
          <w:bCs w:val="0"/>
          <w:kern w:val="2"/>
          <w:sz w:val="32"/>
          <w:szCs w:val="32"/>
          <w:lang w:val="zh-CN" w:eastAsia="zh-CN" w:bidi="ar-SA"/>
        </w:rPr>
        <w:t>九、一般公共预算财政拨款项目支出决算表</w:t>
      </w:r>
      <w:bookmarkEnd w:id="100"/>
    </w:p>
    <w:p>
      <w:pPr>
        <w:pStyle w:val="4"/>
        <w:spacing w:line="415" w:lineRule="auto"/>
        <w:ind w:firstLine="0" w:firstLineChars="0"/>
        <w:jc w:val="both"/>
        <w:rPr>
          <w:rFonts w:hint="eastAsia" w:ascii="黑体" w:hAnsi="黑体" w:eastAsia="黑体" w:cs="黑体"/>
          <w:bCs w:val="0"/>
          <w:kern w:val="2"/>
          <w:sz w:val="32"/>
          <w:szCs w:val="32"/>
          <w:lang w:val="zh-CN" w:eastAsia="zh-CN" w:bidi="ar-SA"/>
        </w:rPr>
      </w:pPr>
      <w:bookmarkStart w:id="101" w:name="_Toc27559"/>
      <w:r>
        <w:rPr>
          <w:rFonts w:hint="eastAsia" w:ascii="黑体" w:hAnsi="黑体" w:eastAsia="黑体" w:cs="黑体"/>
          <w:bCs w:val="0"/>
          <w:kern w:val="2"/>
          <w:sz w:val="32"/>
          <w:szCs w:val="32"/>
          <w:lang w:val="zh-CN" w:eastAsia="zh-CN" w:bidi="ar-SA"/>
        </w:rPr>
        <w:t>十、一般公共预算财政拨款“三公”经费支出决算表</w:t>
      </w:r>
      <w:bookmarkEnd w:id="101"/>
    </w:p>
    <w:p>
      <w:pPr>
        <w:pStyle w:val="4"/>
        <w:spacing w:line="415" w:lineRule="auto"/>
        <w:ind w:firstLine="0" w:firstLineChars="0"/>
        <w:jc w:val="both"/>
        <w:rPr>
          <w:rFonts w:hint="eastAsia" w:ascii="黑体" w:hAnsi="黑体" w:eastAsia="黑体" w:cs="黑体"/>
          <w:bCs w:val="0"/>
          <w:kern w:val="2"/>
          <w:sz w:val="32"/>
          <w:szCs w:val="32"/>
          <w:lang w:val="zh-CN" w:eastAsia="zh-CN" w:bidi="ar-SA"/>
        </w:rPr>
      </w:pPr>
      <w:bookmarkStart w:id="102" w:name="_Toc16403"/>
      <w:r>
        <w:rPr>
          <w:rFonts w:hint="eastAsia" w:ascii="黑体" w:hAnsi="黑体" w:eastAsia="黑体" w:cs="黑体"/>
          <w:bCs w:val="0"/>
          <w:kern w:val="2"/>
          <w:sz w:val="32"/>
          <w:szCs w:val="32"/>
          <w:lang w:val="zh-CN" w:eastAsia="zh-CN" w:bidi="ar-SA"/>
        </w:rPr>
        <w:t>十一、政府性基金预算财政拨款收入支出决算表</w:t>
      </w:r>
      <w:bookmarkEnd w:id="102"/>
    </w:p>
    <w:p>
      <w:pPr>
        <w:pStyle w:val="4"/>
        <w:spacing w:line="415" w:lineRule="auto"/>
        <w:ind w:firstLine="0" w:firstLineChars="0"/>
        <w:jc w:val="both"/>
        <w:rPr>
          <w:rFonts w:hint="eastAsia" w:ascii="黑体" w:hAnsi="黑体" w:eastAsia="黑体" w:cs="黑体"/>
          <w:bCs w:val="0"/>
          <w:kern w:val="2"/>
          <w:sz w:val="32"/>
          <w:szCs w:val="32"/>
          <w:lang w:val="zh-CN" w:eastAsia="zh-CN" w:bidi="ar-SA"/>
        </w:rPr>
      </w:pPr>
      <w:bookmarkStart w:id="103" w:name="_Toc9277"/>
      <w:r>
        <w:rPr>
          <w:rFonts w:hint="eastAsia" w:ascii="黑体" w:hAnsi="黑体" w:eastAsia="黑体" w:cs="黑体"/>
          <w:bCs w:val="0"/>
          <w:kern w:val="2"/>
          <w:sz w:val="32"/>
          <w:szCs w:val="32"/>
          <w:lang w:val="zh-CN" w:eastAsia="zh-CN" w:bidi="ar-SA"/>
        </w:rPr>
        <w:t>十二、政府性基金预算财政拨款“三公”经费支出决算表</w:t>
      </w:r>
      <w:bookmarkEnd w:id="103"/>
    </w:p>
    <w:p>
      <w:pPr>
        <w:pStyle w:val="4"/>
        <w:spacing w:line="415" w:lineRule="auto"/>
        <w:ind w:firstLine="0" w:firstLineChars="0"/>
        <w:jc w:val="both"/>
        <w:rPr>
          <w:rFonts w:hint="eastAsia" w:ascii="黑体" w:hAnsi="黑体" w:eastAsia="黑体" w:cs="黑体"/>
          <w:bCs w:val="0"/>
          <w:kern w:val="2"/>
          <w:sz w:val="32"/>
          <w:szCs w:val="32"/>
          <w:lang w:val="zh-CN" w:eastAsia="zh-CN" w:bidi="ar-SA"/>
        </w:rPr>
      </w:pPr>
      <w:bookmarkStart w:id="104" w:name="_Toc931"/>
      <w:r>
        <w:rPr>
          <w:rFonts w:hint="eastAsia" w:ascii="黑体" w:hAnsi="黑体" w:eastAsia="黑体" w:cs="黑体"/>
          <w:bCs w:val="0"/>
          <w:kern w:val="2"/>
          <w:sz w:val="32"/>
          <w:szCs w:val="32"/>
          <w:lang w:val="zh-CN" w:eastAsia="zh-CN" w:bidi="ar-SA"/>
        </w:rPr>
        <w:t>十三、国有资本经营预算财政拨款收入支出决算表</w:t>
      </w:r>
      <w:bookmarkEnd w:id="104"/>
    </w:p>
    <w:p>
      <w:pPr>
        <w:spacing w:line="415" w:lineRule="auto"/>
        <w:outlineLvl w:val="1"/>
        <w:rPr>
          <w:rFonts w:hint="eastAsia" w:ascii="黑体" w:hAnsi="黑体" w:eastAsia="黑体" w:cs="黑体"/>
          <w:bCs w:val="0"/>
          <w:kern w:val="2"/>
          <w:sz w:val="32"/>
          <w:szCs w:val="32"/>
          <w:lang w:val="zh-CN" w:eastAsia="zh-CN" w:bidi="ar-SA"/>
        </w:rPr>
      </w:pPr>
      <w:bookmarkStart w:id="105" w:name="_Toc28976"/>
      <w:r>
        <w:rPr>
          <w:rFonts w:hint="eastAsia" w:ascii="黑体" w:hAnsi="黑体" w:eastAsia="黑体" w:cs="黑体"/>
          <w:bCs w:val="0"/>
          <w:kern w:val="2"/>
          <w:sz w:val="32"/>
          <w:szCs w:val="32"/>
          <w:lang w:val="zh-CN" w:eastAsia="zh-CN" w:bidi="ar-SA"/>
        </w:rPr>
        <w:t>十四、国有资本经营预算财政拨款支出决算表</w:t>
      </w:r>
      <w:bookmarkEnd w:id="105"/>
    </w:p>
    <w:sectPr>
      <w:footerReference r:id="rId7" w:type="first"/>
      <w:footerReference r:id="rId6" w:type="default"/>
      <w:type w:val="continuous"/>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507761-9A95-4817-8D20-FE071760D53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6692222-6351-4350-A646-36094396794C}"/>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511D42E7-AF69-4B2F-9159-9C784519F5F5}"/>
  </w:font>
  <w:font w:name="仿宋">
    <w:panose1 w:val="02010609060101010101"/>
    <w:charset w:val="86"/>
    <w:family w:val="auto"/>
    <w:pitch w:val="default"/>
    <w:sig w:usb0="800002BF" w:usb1="38CF7CFA" w:usb2="00000016" w:usb3="00000000" w:csb0="00040001" w:csb1="00000000"/>
    <w:embedRegular r:id="rId4" w:fontKey="{64C0D247-AAD6-40AE-8BA7-4DEA2F7C8136}"/>
  </w:font>
  <w:font w:name="方正小标宋简体">
    <w:panose1 w:val="02000000000000000000"/>
    <w:charset w:val="86"/>
    <w:family w:val="script"/>
    <w:pitch w:val="default"/>
    <w:sig w:usb0="00000001" w:usb1="080E0000" w:usb2="00000000" w:usb3="00000000" w:csb0="00040000" w:csb1="00000000"/>
    <w:embedRegular r:id="rId5" w:fontKey="{35522A6A-C201-429C-8413-0D4EDAEF0218}"/>
  </w:font>
  <w:font w:name="楷体_GB2312">
    <w:panose1 w:val="02010609030101010101"/>
    <w:charset w:val="86"/>
    <w:family w:val="auto"/>
    <w:pitch w:val="default"/>
    <w:sig w:usb0="00000001" w:usb1="080E0000" w:usb2="00000000" w:usb3="00000000" w:csb0="00040000" w:csb1="00000000"/>
    <w:embedRegular r:id="rId6" w:fontKey="{C43ABCC3-3C10-4346-83DA-F492247B948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56568"/>
      <w:docPartObj>
        <w:docPartGallery w:val="autotext"/>
      </w:docPartObj>
    </w:sdtPr>
    <w:sdtContent>
      <w:p>
        <w:pPr>
          <w:pStyle w:val="8"/>
        </w:pPr>
      </w:p>
    </w:sdtContent>
  </w:sdt>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56570"/>
    </w:sdtPr>
    <w:sdtContent>
      <w:p>
        <w:pPr>
          <w:pStyle w:val="8"/>
          <w:jc w:val="center"/>
        </w:pPr>
        <w:r>
          <w:fldChar w:fldCharType="begin"/>
        </w:r>
        <w:r>
          <w:instrText xml:space="preserve">PAGE   \* MERGEFORMAT</w:instrText>
        </w:r>
        <w:r>
          <w:fldChar w:fldCharType="separate"/>
        </w:r>
        <w:r>
          <w:rPr>
            <w:lang w:val="zh-CN"/>
          </w:rPr>
          <w:t>35</w:t>
        </w:r>
        <w:r>
          <w:rPr>
            <w:lang w:val="zh-CN"/>
          </w:rPr>
          <w:fldChar w:fldCharType="end"/>
        </w:r>
      </w:p>
    </w:sdtContent>
  </w:sdt>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56569"/>
      <w:docPartObj>
        <w:docPartGallery w:val="autotext"/>
      </w:docPartObj>
    </w:sdtPr>
    <w:sdtContent>
      <w:p>
        <w:pPr>
          <w:pStyle w:val="8"/>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AwOWViM2EyMmVmNzYwZDNjNjNhMTBiOWNkZjMyODEifQ=="/>
  </w:docVars>
  <w:rsids>
    <w:rsidRoot w:val="00F1361C"/>
    <w:rsid w:val="000166FF"/>
    <w:rsid w:val="000222C6"/>
    <w:rsid w:val="0002549F"/>
    <w:rsid w:val="00025D84"/>
    <w:rsid w:val="00034660"/>
    <w:rsid w:val="000373FB"/>
    <w:rsid w:val="000468DB"/>
    <w:rsid w:val="0006487A"/>
    <w:rsid w:val="00065F8F"/>
    <w:rsid w:val="00070A43"/>
    <w:rsid w:val="000768F2"/>
    <w:rsid w:val="0009184B"/>
    <w:rsid w:val="00093A8C"/>
    <w:rsid w:val="00094236"/>
    <w:rsid w:val="0009593C"/>
    <w:rsid w:val="00096619"/>
    <w:rsid w:val="00097322"/>
    <w:rsid w:val="000A68BD"/>
    <w:rsid w:val="000A6A92"/>
    <w:rsid w:val="000B047F"/>
    <w:rsid w:val="000B5923"/>
    <w:rsid w:val="000B5A48"/>
    <w:rsid w:val="000B6FF3"/>
    <w:rsid w:val="000C3467"/>
    <w:rsid w:val="000C3CA6"/>
    <w:rsid w:val="000C5443"/>
    <w:rsid w:val="000D1267"/>
    <w:rsid w:val="000D1D50"/>
    <w:rsid w:val="000D5782"/>
    <w:rsid w:val="000E6613"/>
    <w:rsid w:val="000E7119"/>
    <w:rsid w:val="000F547D"/>
    <w:rsid w:val="000F7A77"/>
    <w:rsid w:val="00114E9B"/>
    <w:rsid w:val="00142216"/>
    <w:rsid w:val="00144D6A"/>
    <w:rsid w:val="0014729F"/>
    <w:rsid w:val="00157BAB"/>
    <w:rsid w:val="001654D1"/>
    <w:rsid w:val="00174518"/>
    <w:rsid w:val="0018106D"/>
    <w:rsid w:val="001877A7"/>
    <w:rsid w:val="00191536"/>
    <w:rsid w:val="0019379D"/>
    <w:rsid w:val="00196687"/>
    <w:rsid w:val="001C0962"/>
    <w:rsid w:val="001D7531"/>
    <w:rsid w:val="001E737D"/>
    <w:rsid w:val="001F0592"/>
    <w:rsid w:val="001F7506"/>
    <w:rsid w:val="002006CD"/>
    <w:rsid w:val="00202B36"/>
    <w:rsid w:val="00204B7A"/>
    <w:rsid w:val="00204CDE"/>
    <w:rsid w:val="0021101A"/>
    <w:rsid w:val="00220536"/>
    <w:rsid w:val="00235629"/>
    <w:rsid w:val="00244343"/>
    <w:rsid w:val="00260C38"/>
    <w:rsid w:val="002616C0"/>
    <w:rsid w:val="00264530"/>
    <w:rsid w:val="00265372"/>
    <w:rsid w:val="002662AA"/>
    <w:rsid w:val="00280496"/>
    <w:rsid w:val="00294DC9"/>
    <w:rsid w:val="00295495"/>
    <w:rsid w:val="002A31DE"/>
    <w:rsid w:val="002B2613"/>
    <w:rsid w:val="002C6FE4"/>
    <w:rsid w:val="002D6D05"/>
    <w:rsid w:val="002F1818"/>
    <w:rsid w:val="002F567B"/>
    <w:rsid w:val="00317C00"/>
    <w:rsid w:val="003216A9"/>
    <w:rsid w:val="00325A87"/>
    <w:rsid w:val="00335A74"/>
    <w:rsid w:val="00352A1D"/>
    <w:rsid w:val="0036561B"/>
    <w:rsid w:val="00366AAB"/>
    <w:rsid w:val="0037013F"/>
    <w:rsid w:val="00380C92"/>
    <w:rsid w:val="00387D97"/>
    <w:rsid w:val="00396A91"/>
    <w:rsid w:val="003A484F"/>
    <w:rsid w:val="003A4883"/>
    <w:rsid w:val="003B0BE0"/>
    <w:rsid w:val="003B0C1B"/>
    <w:rsid w:val="003B688C"/>
    <w:rsid w:val="003C0291"/>
    <w:rsid w:val="003C39AE"/>
    <w:rsid w:val="003C7B60"/>
    <w:rsid w:val="003D0C0F"/>
    <w:rsid w:val="003D1FB2"/>
    <w:rsid w:val="003D4343"/>
    <w:rsid w:val="003D66DA"/>
    <w:rsid w:val="003E1310"/>
    <w:rsid w:val="003E6F55"/>
    <w:rsid w:val="00406254"/>
    <w:rsid w:val="004223DE"/>
    <w:rsid w:val="00434489"/>
    <w:rsid w:val="00437085"/>
    <w:rsid w:val="00443880"/>
    <w:rsid w:val="004464F4"/>
    <w:rsid w:val="00471401"/>
    <w:rsid w:val="00473F31"/>
    <w:rsid w:val="0048263A"/>
    <w:rsid w:val="0048557B"/>
    <w:rsid w:val="00487E5D"/>
    <w:rsid w:val="004A259D"/>
    <w:rsid w:val="004A711F"/>
    <w:rsid w:val="004B199D"/>
    <w:rsid w:val="004B4019"/>
    <w:rsid w:val="004B4690"/>
    <w:rsid w:val="004E0A2D"/>
    <w:rsid w:val="004E206B"/>
    <w:rsid w:val="004E6DF7"/>
    <w:rsid w:val="004F0A61"/>
    <w:rsid w:val="004F0FBD"/>
    <w:rsid w:val="0050118D"/>
    <w:rsid w:val="00505A47"/>
    <w:rsid w:val="00512FDA"/>
    <w:rsid w:val="00520DA0"/>
    <w:rsid w:val="005664BB"/>
    <w:rsid w:val="00566FFA"/>
    <w:rsid w:val="0057481D"/>
    <w:rsid w:val="0058486E"/>
    <w:rsid w:val="00585B33"/>
    <w:rsid w:val="0059014D"/>
    <w:rsid w:val="005A0CC7"/>
    <w:rsid w:val="005B5C64"/>
    <w:rsid w:val="005C5337"/>
    <w:rsid w:val="005C6BD0"/>
    <w:rsid w:val="005D1C8B"/>
    <w:rsid w:val="005D468D"/>
    <w:rsid w:val="005D5CED"/>
    <w:rsid w:val="005E2518"/>
    <w:rsid w:val="005E6416"/>
    <w:rsid w:val="005F1A4C"/>
    <w:rsid w:val="005F69D1"/>
    <w:rsid w:val="005F7E85"/>
    <w:rsid w:val="00605688"/>
    <w:rsid w:val="006070AF"/>
    <w:rsid w:val="00607147"/>
    <w:rsid w:val="00607E6C"/>
    <w:rsid w:val="006101B1"/>
    <w:rsid w:val="00614E44"/>
    <w:rsid w:val="0062270A"/>
    <w:rsid w:val="00622830"/>
    <w:rsid w:val="00623DA0"/>
    <w:rsid w:val="00630299"/>
    <w:rsid w:val="00630AEF"/>
    <w:rsid w:val="006325F8"/>
    <w:rsid w:val="00633463"/>
    <w:rsid w:val="00634C9A"/>
    <w:rsid w:val="006406BC"/>
    <w:rsid w:val="006440E4"/>
    <w:rsid w:val="0066343B"/>
    <w:rsid w:val="00664777"/>
    <w:rsid w:val="006748A4"/>
    <w:rsid w:val="00677337"/>
    <w:rsid w:val="00681A31"/>
    <w:rsid w:val="00683E73"/>
    <w:rsid w:val="006A3141"/>
    <w:rsid w:val="006A5E34"/>
    <w:rsid w:val="006B2422"/>
    <w:rsid w:val="006B2B9A"/>
    <w:rsid w:val="006C1937"/>
    <w:rsid w:val="006F020C"/>
    <w:rsid w:val="006F5A8B"/>
    <w:rsid w:val="007127B7"/>
    <w:rsid w:val="0071798E"/>
    <w:rsid w:val="007416B6"/>
    <w:rsid w:val="007421A8"/>
    <w:rsid w:val="007435C9"/>
    <w:rsid w:val="00743EE5"/>
    <w:rsid w:val="00744169"/>
    <w:rsid w:val="00746F48"/>
    <w:rsid w:val="0075404D"/>
    <w:rsid w:val="0076182A"/>
    <w:rsid w:val="00767B7E"/>
    <w:rsid w:val="0077433C"/>
    <w:rsid w:val="007770C3"/>
    <w:rsid w:val="00784D24"/>
    <w:rsid w:val="00785FBA"/>
    <w:rsid w:val="00786E4A"/>
    <w:rsid w:val="007875EB"/>
    <w:rsid w:val="0079426B"/>
    <w:rsid w:val="007C387D"/>
    <w:rsid w:val="007C4FD6"/>
    <w:rsid w:val="007C5285"/>
    <w:rsid w:val="007C74E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0B4A"/>
    <w:rsid w:val="008423A5"/>
    <w:rsid w:val="0085041E"/>
    <w:rsid w:val="00850625"/>
    <w:rsid w:val="00853718"/>
    <w:rsid w:val="00855221"/>
    <w:rsid w:val="00860645"/>
    <w:rsid w:val="00871F71"/>
    <w:rsid w:val="00872FD8"/>
    <w:rsid w:val="0087680E"/>
    <w:rsid w:val="00885AF4"/>
    <w:rsid w:val="008939CD"/>
    <w:rsid w:val="008B768C"/>
    <w:rsid w:val="008C4DB1"/>
    <w:rsid w:val="008C4EAF"/>
    <w:rsid w:val="008C5176"/>
    <w:rsid w:val="008C7780"/>
    <w:rsid w:val="008C7FD0"/>
    <w:rsid w:val="008D5138"/>
    <w:rsid w:val="008E1DE7"/>
    <w:rsid w:val="008E707C"/>
    <w:rsid w:val="008F6E68"/>
    <w:rsid w:val="00900B08"/>
    <w:rsid w:val="00902155"/>
    <w:rsid w:val="00902FA3"/>
    <w:rsid w:val="00917A19"/>
    <w:rsid w:val="00923564"/>
    <w:rsid w:val="0092392E"/>
    <w:rsid w:val="009315F9"/>
    <w:rsid w:val="00933499"/>
    <w:rsid w:val="009335CD"/>
    <w:rsid w:val="00935C98"/>
    <w:rsid w:val="00936DE9"/>
    <w:rsid w:val="00946945"/>
    <w:rsid w:val="00951248"/>
    <w:rsid w:val="0095152F"/>
    <w:rsid w:val="00954C49"/>
    <w:rsid w:val="00955E37"/>
    <w:rsid w:val="0097099F"/>
    <w:rsid w:val="00971997"/>
    <w:rsid w:val="00971FFC"/>
    <w:rsid w:val="009743FD"/>
    <w:rsid w:val="0098660A"/>
    <w:rsid w:val="00990BEA"/>
    <w:rsid w:val="009931C3"/>
    <w:rsid w:val="009B2C43"/>
    <w:rsid w:val="009B4EAE"/>
    <w:rsid w:val="009B7573"/>
    <w:rsid w:val="009C22F4"/>
    <w:rsid w:val="009C2A4B"/>
    <w:rsid w:val="009C2E98"/>
    <w:rsid w:val="009D3447"/>
    <w:rsid w:val="009D4711"/>
    <w:rsid w:val="009D694D"/>
    <w:rsid w:val="009F1185"/>
    <w:rsid w:val="009F18CD"/>
    <w:rsid w:val="009F2A13"/>
    <w:rsid w:val="009F7527"/>
    <w:rsid w:val="00A04EB0"/>
    <w:rsid w:val="00A11CCF"/>
    <w:rsid w:val="00A13CC1"/>
    <w:rsid w:val="00A16847"/>
    <w:rsid w:val="00A1715F"/>
    <w:rsid w:val="00A237D8"/>
    <w:rsid w:val="00A268C4"/>
    <w:rsid w:val="00A307CD"/>
    <w:rsid w:val="00A331C8"/>
    <w:rsid w:val="00A40A00"/>
    <w:rsid w:val="00A4142F"/>
    <w:rsid w:val="00A422EB"/>
    <w:rsid w:val="00A45BB7"/>
    <w:rsid w:val="00A47CB9"/>
    <w:rsid w:val="00A56DF2"/>
    <w:rsid w:val="00A56E6E"/>
    <w:rsid w:val="00A67AB5"/>
    <w:rsid w:val="00A733B2"/>
    <w:rsid w:val="00A741C2"/>
    <w:rsid w:val="00A82858"/>
    <w:rsid w:val="00A87AE5"/>
    <w:rsid w:val="00A91760"/>
    <w:rsid w:val="00A93B00"/>
    <w:rsid w:val="00A93C21"/>
    <w:rsid w:val="00AB3757"/>
    <w:rsid w:val="00AB3BD4"/>
    <w:rsid w:val="00AB64C9"/>
    <w:rsid w:val="00AB73ED"/>
    <w:rsid w:val="00AC3C6A"/>
    <w:rsid w:val="00AD5620"/>
    <w:rsid w:val="00AD656B"/>
    <w:rsid w:val="00AD7C1B"/>
    <w:rsid w:val="00AE16BA"/>
    <w:rsid w:val="00AE1EBE"/>
    <w:rsid w:val="00AF1478"/>
    <w:rsid w:val="00B03C9D"/>
    <w:rsid w:val="00B060AE"/>
    <w:rsid w:val="00B10517"/>
    <w:rsid w:val="00B14806"/>
    <w:rsid w:val="00B14E76"/>
    <w:rsid w:val="00B161B8"/>
    <w:rsid w:val="00B2048C"/>
    <w:rsid w:val="00B2215C"/>
    <w:rsid w:val="00B310B9"/>
    <w:rsid w:val="00B35F3F"/>
    <w:rsid w:val="00B36CBB"/>
    <w:rsid w:val="00B425E0"/>
    <w:rsid w:val="00B440AA"/>
    <w:rsid w:val="00B44B70"/>
    <w:rsid w:val="00B53C56"/>
    <w:rsid w:val="00B57DAF"/>
    <w:rsid w:val="00B66F5C"/>
    <w:rsid w:val="00B77EA6"/>
    <w:rsid w:val="00B81598"/>
    <w:rsid w:val="00B841F1"/>
    <w:rsid w:val="00B944D6"/>
    <w:rsid w:val="00BB462F"/>
    <w:rsid w:val="00BB4DF0"/>
    <w:rsid w:val="00BC289F"/>
    <w:rsid w:val="00BC2D50"/>
    <w:rsid w:val="00BC5361"/>
    <w:rsid w:val="00BC5460"/>
    <w:rsid w:val="00BC6B50"/>
    <w:rsid w:val="00BD0E25"/>
    <w:rsid w:val="00BD4E0B"/>
    <w:rsid w:val="00BE1679"/>
    <w:rsid w:val="00BE6BCD"/>
    <w:rsid w:val="00BF0FDA"/>
    <w:rsid w:val="00BF5BD6"/>
    <w:rsid w:val="00C03E31"/>
    <w:rsid w:val="00C33E72"/>
    <w:rsid w:val="00C354B2"/>
    <w:rsid w:val="00C35554"/>
    <w:rsid w:val="00C42709"/>
    <w:rsid w:val="00C533CC"/>
    <w:rsid w:val="00C5751C"/>
    <w:rsid w:val="00C61BFC"/>
    <w:rsid w:val="00C62B85"/>
    <w:rsid w:val="00C65438"/>
    <w:rsid w:val="00C731FB"/>
    <w:rsid w:val="00C8071F"/>
    <w:rsid w:val="00C87FD8"/>
    <w:rsid w:val="00C91381"/>
    <w:rsid w:val="00C91CBB"/>
    <w:rsid w:val="00CB4E70"/>
    <w:rsid w:val="00CC09B6"/>
    <w:rsid w:val="00CC666F"/>
    <w:rsid w:val="00CD1E3F"/>
    <w:rsid w:val="00CE44F6"/>
    <w:rsid w:val="00CE49DA"/>
    <w:rsid w:val="00CE7B61"/>
    <w:rsid w:val="00CF191B"/>
    <w:rsid w:val="00D00095"/>
    <w:rsid w:val="00D01B56"/>
    <w:rsid w:val="00D0297D"/>
    <w:rsid w:val="00D114F0"/>
    <w:rsid w:val="00D1237A"/>
    <w:rsid w:val="00D20620"/>
    <w:rsid w:val="00D254F7"/>
    <w:rsid w:val="00D26091"/>
    <w:rsid w:val="00D2685C"/>
    <w:rsid w:val="00D312B9"/>
    <w:rsid w:val="00D34E7C"/>
    <w:rsid w:val="00D35489"/>
    <w:rsid w:val="00D36AFE"/>
    <w:rsid w:val="00D3712E"/>
    <w:rsid w:val="00D51276"/>
    <w:rsid w:val="00D7035F"/>
    <w:rsid w:val="00D92602"/>
    <w:rsid w:val="00D93B59"/>
    <w:rsid w:val="00DA634F"/>
    <w:rsid w:val="00DA65AC"/>
    <w:rsid w:val="00DA6FAD"/>
    <w:rsid w:val="00DB1913"/>
    <w:rsid w:val="00DC410D"/>
    <w:rsid w:val="00DC5A81"/>
    <w:rsid w:val="00DC68CA"/>
    <w:rsid w:val="00DC7CBA"/>
    <w:rsid w:val="00DD73B7"/>
    <w:rsid w:val="00DF28BC"/>
    <w:rsid w:val="00DF34B9"/>
    <w:rsid w:val="00E01053"/>
    <w:rsid w:val="00E0161F"/>
    <w:rsid w:val="00E01FD4"/>
    <w:rsid w:val="00E070F4"/>
    <w:rsid w:val="00E07ACF"/>
    <w:rsid w:val="00E331A1"/>
    <w:rsid w:val="00E33202"/>
    <w:rsid w:val="00E336A9"/>
    <w:rsid w:val="00E45E49"/>
    <w:rsid w:val="00E46EA1"/>
    <w:rsid w:val="00E472B1"/>
    <w:rsid w:val="00E50624"/>
    <w:rsid w:val="00E568DF"/>
    <w:rsid w:val="00E64269"/>
    <w:rsid w:val="00E82267"/>
    <w:rsid w:val="00E853CE"/>
    <w:rsid w:val="00E867B6"/>
    <w:rsid w:val="00E9462B"/>
    <w:rsid w:val="00E96D07"/>
    <w:rsid w:val="00EA010F"/>
    <w:rsid w:val="00EB065C"/>
    <w:rsid w:val="00EC6B83"/>
    <w:rsid w:val="00ED1B63"/>
    <w:rsid w:val="00ED3C1F"/>
    <w:rsid w:val="00ED4085"/>
    <w:rsid w:val="00ED420E"/>
    <w:rsid w:val="00ED6FBE"/>
    <w:rsid w:val="00EE2F57"/>
    <w:rsid w:val="00EF191F"/>
    <w:rsid w:val="00EF4C34"/>
    <w:rsid w:val="00EF77C6"/>
    <w:rsid w:val="00F05438"/>
    <w:rsid w:val="00F1361C"/>
    <w:rsid w:val="00F1555E"/>
    <w:rsid w:val="00F156F0"/>
    <w:rsid w:val="00F160C7"/>
    <w:rsid w:val="00F20C73"/>
    <w:rsid w:val="00F2408F"/>
    <w:rsid w:val="00F240E9"/>
    <w:rsid w:val="00F36D89"/>
    <w:rsid w:val="00F36D8F"/>
    <w:rsid w:val="00F417B1"/>
    <w:rsid w:val="00F45853"/>
    <w:rsid w:val="00F5472F"/>
    <w:rsid w:val="00F602DF"/>
    <w:rsid w:val="00F754A1"/>
    <w:rsid w:val="00F81FD9"/>
    <w:rsid w:val="00F841AA"/>
    <w:rsid w:val="00F84A94"/>
    <w:rsid w:val="00F87E96"/>
    <w:rsid w:val="00F9043F"/>
    <w:rsid w:val="00FA23E8"/>
    <w:rsid w:val="00FA28CE"/>
    <w:rsid w:val="00FB39AC"/>
    <w:rsid w:val="00FB4BC9"/>
    <w:rsid w:val="00FB50E2"/>
    <w:rsid w:val="00FC03C8"/>
    <w:rsid w:val="00FD3CC1"/>
    <w:rsid w:val="00FE3A2E"/>
    <w:rsid w:val="00FF1E02"/>
    <w:rsid w:val="00FF30B4"/>
    <w:rsid w:val="0A2032A3"/>
    <w:rsid w:val="10C055FF"/>
    <w:rsid w:val="118107EC"/>
    <w:rsid w:val="16BB723D"/>
    <w:rsid w:val="18015F3F"/>
    <w:rsid w:val="1BE8440E"/>
    <w:rsid w:val="1D155CEE"/>
    <w:rsid w:val="1D9E208B"/>
    <w:rsid w:val="20F57F95"/>
    <w:rsid w:val="240371BF"/>
    <w:rsid w:val="2527505B"/>
    <w:rsid w:val="29FD04D3"/>
    <w:rsid w:val="2ABE7A3E"/>
    <w:rsid w:val="319F7F4E"/>
    <w:rsid w:val="3B7791B9"/>
    <w:rsid w:val="3C0A7141"/>
    <w:rsid w:val="3C0C0783"/>
    <w:rsid w:val="496F39ED"/>
    <w:rsid w:val="4BE068DB"/>
    <w:rsid w:val="4BF6002B"/>
    <w:rsid w:val="4ECE2238"/>
    <w:rsid w:val="58A937AD"/>
    <w:rsid w:val="5AB03349"/>
    <w:rsid w:val="64CA39A1"/>
    <w:rsid w:val="6C4A05C8"/>
    <w:rsid w:val="6DFA4703"/>
    <w:rsid w:val="72734D90"/>
    <w:rsid w:val="77FC79DD"/>
    <w:rsid w:val="7F79E40D"/>
    <w:rsid w:val="DFDB5380"/>
    <w:rsid w:val="FD7E58E7"/>
    <w:rsid w:val="FE9E563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
    <w:pPr>
      <w:keepNext/>
      <w:keepLines/>
      <w:spacing w:before="340" w:after="330" w:line="578" w:lineRule="auto"/>
      <w:jc w:val="center"/>
      <w:outlineLvl w:val="0"/>
    </w:pPr>
    <w:rPr>
      <w:rFonts w:eastAsia="黑体"/>
      <w:bCs/>
      <w:kern w:val="44"/>
      <w:sz w:val="44"/>
      <w:szCs w:val="44"/>
    </w:rPr>
  </w:style>
  <w:style w:type="paragraph" w:styleId="4">
    <w:name w:val="heading 2"/>
    <w:basedOn w:val="1"/>
    <w:next w:val="1"/>
    <w:link w:val="25"/>
    <w:unhideWhenUsed/>
    <w:qFormat/>
    <w:uiPriority w:val="9"/>
    <w:pPr>
      <w:keepNext/>
      <w:keepLines/>
      <w:spacing w:before="260" w:after="260" w:line="720" w:lineRule="auto"/>
      <w:ind w:firstLine="200" w:firstLineChars="200"/>
      <w:jc w:val="left"/>
      <w:outlineLvl w:val="1"/>
    </w:pPr>
    <w:rPr>
      <w:rFonts w:eastAsia="黑体" w:asciiTheme="majorHAnsi" w:hAnsiTheme="majorHAnsi" w:cstheme="majorBidi"/>
      <w:bCs/>
      <w:sz w:val="32"/>
      <w:szCs w:val="32"/>
    </w:rPr>
  </w:style>
  <w:style w:type="paragraph" w:styleId="5">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2"/>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3"/>
    <w:qFormat/>
    <w:uiPriority w:val="9"/>
    <w:rPr>
      <w:rFonts w:ascii="Times New Roman" w:hAnsi="Times New Roman" w:eastAsia="黑体" w:cs="Times New Roman"/>
      <w:bCs/>
      <w:kern w:val="44"/>
      <w:sz w:val="44"/>
      <w:szCs w:val="44"/>
    </w:rPr>
  </w:style>
  <w:style w:type="character" w:customStyle="1" w:styleId="25">
    <w:name w:val="标题 2 Char"/>
    <w:basedOn w:val="13"/>
    <w:link w:val="4"/>
    <w:qFormat/>
    <w:uiPriority w:val="9"/>
    <w:rPr>
      <w:rFonts w:eastAsia="黑体" w:asciiTheme="majorHAnsi" w:hAnsiTheme="majorHAnsi" w:cstheme="majorBidi"/>
      <w:bCs/>
      <w:kern w:val="2"/>
      <w:sz w:val="32"/>
      <w:szCs w:val="32"/>
    </w:rPr>
  </w:style>
  <w:style w:type="paragraph" w:customStyle="1" w:styleId="26">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5"/>
    <w:qFormat/>
    <w:uiPriority w:val="9"/>
    <w:rPr>
      <w:rFonts w:ascii="Times New Roman" w:hAnsi="Times New Roman"/>
      <w:b/>
      <w:bCs/>
      <w:kern w:val="2"/>
      <w:sz w:val="32"/>
      <w:szCs w:val="32"/>
    </w:rPr>
  </w:style>
  <w:style w:type="paragraph" w:customStyle="1" w:styleId="29">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0">
    <w:name w:val="正文 New"/>
    <w:qFormat/>
    <w:uiPriority w:val="0"/>
    <w:pPr>
      <w:widowControl w:val="0"/>
      <w:jc w:val="both"/>
    </w:pPr>
    <w:rPr>
      <w:rFonts w:ascii="Cambria" w:hAnsi="Cambria" w:eastAsia="宋体" w:cs="黑体"/>
      <w:kern w:val="2"/>
      <w:sz w:val="24"/>
      <w:szCs w:val="24"/>
      <w:lang w:val="en-US" w:eastAsia="zh-CN" w:bidi="ar-SA"/>
    </w:rPr>
  </w:style>
  <w:style w:type="paragraph" w:customStyle="1" w:styleId="31">
    <w:name w:val="TOC Heading"/>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b/>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4.bin"/></Relationships>
</file>

<file path=word/charts/_rels/chart5.xml.rels><?xml version="1.0" encoding="UTF-8" standalone="yes"?>
<Relationships xmlns="http://schemas.openxmlformats.org/package/2006/relationships"><Relationship Id="rId1" Type="http://schemas.openxmlformats.org/officeDocument/2006/relationships/oleObject" Target="../embeddings/oleObject5.bin"/></Relationships>
</file>

<file path=word/charts/_rels/chart6.xml.rels><?xml version="1.0" encoding="UTF-8" standalone="yes"?>
<Relationships xmlns="http://schemas.openxmlformats.org/package/2006/relationships"><Relationship Id="rId1" Type="http://schemas.openxmlformats.org/officeDocument/2006/relationships/oleObject" Target="../embeddings/oleObject6.bin"/></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7.bin"/></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2019年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c:v>
                </c:pt>
                <c:pt idx="1">
                  <c:v>支</c:v>
                </c:pt>
              </c:strCache>
            </c:strRef>
          </c:cat>
          <c:val>
            <c:numRef>
              <c:f>Sheet1!$B$2:$B$3</c:f>
              <c:numCache>
                <c:formatCode>General</c:formatCode>
                <c:ptCount val="2"/>
                <c:pt idx="0">
                  <c:v>196.87</c:v>
                </c:pt>
                <c:pt idx="1">
                  <c:v>196.87</c:v>
                </c:pt>
              </c:numCache>
            </c:numRef>
          </c:val>
        </c:ser>
        <c:ser>
          <c:idx val="1"/>
          <c:order val="1"/>
          <c:tx>
            <c:strRef>
              <c:f>Sheet1!$C$1</c:f>
              <c:strCache>
                <c:ptCount val="1"/>
                <c:pt idx="0">
                  <c:v>2020年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c:v>
                </c:pt>
                <c:pt idx="1">
                  <c:v>支</c:v>
                </c:pt>
              </c:strCache>
            </c:strRef>
          </c:cat>
          <c:val>
            <c:numRef>
              <c:f>Sheet1!$C$2:$C$3</c:f>
              <c:numCache>
                <c:formatCode>General</c:formatCode>
                <c:ptCount val="2"/>
                <c:pt idx="0">
                  <c:v>230.27</c:v>
                </c:pt>
                <c:pt idx="1">
                  <c:v>230.27</c:v>
                </c:pt>
              </c:numCache>
            </c:numRef>
          </c:val>
        </c:ser>
        <c:dLbls>
          <c:showLegendKey val="0"/>
          <c:showVal val="1"/>
          <c:showCatName val="0"/>
          <c:showSerName val="0"/>
          <c:showPercent val="0"/>
          <c:showBubbleSize val="0"/>
        </c:dLbls>
        <c:gapWidth val="150"/>
        <c:axId val="105125760"/>
        <c:axId val="105342080"/>
      </c:barChart>
      <c:catAx>
        <c:axId val="105125760"/>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342080"/>
        <c:crosses val="autoZero"/>
        <c:auto val="1"/>
        <c:lblAlgn val="ctr"/>
        <c:lblOffset val="100"/>
        <c:noMultiLvlLbl val="0"/>
      </c:catAx>
      <c:valAx>
        <c:axId val="105342080"/>
        <c:scaling>
          <c:orientation val="minMax"/>
          <c:max val="250"/>
          <c:min val="0"/>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5125760"/>
        <c:crosses val="autoZero"/>
        <c:crossBetween val="between"/>
        <c:majorUnit val="50"/>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delete val="1"/>
            </c:dLbl>
            <c:dLbl>
              <c:idx val="2"/>
              <c:delete val="1"/>
            </c:dLbl>
            <c:dLbl>
              <c:idx val="3"/>
              <c:delete val="1"/>
            </c:dLbl>
            <c:dLbl>
              <c:idx val="4"/>
              <c:delete val="1"/>
            </c:dLbl>
            <c:dLbl>
              <c:idx val="5"/>
              <c:delete val="1"/>
            </c:dLbl>
            <c:dLbl>
              <c:idx val="6"/>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0%</c:formatCode>
                <c:ptCount val="7"/>
                <c:pt idx="0">
                  <c:v>1</c:v>
                </c:pt>
                <c:pt idx="1" c:formatCode="General">
                  <c:v>0</c:v>
                </c:pt>
                <c:pt idx="2" c:formatCode="General">
                  <c:v>0</c:v>
                </c:pt>
                <c:pt idx="3" c:formatCode="General">
                  <c:v>0</c:v>
                </c:pt>
                <c:pt idx="4" c:formatCode="General">
                  <c:v>0</c:v>
                </c:pt>
                <c:pt idx="5" c:formatCode="General">
                  <c:v>0</c:v>
                </c:pt>
                <c:pt idx="6" c:formatCode="General">
                  <c:v>0</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c:v>
                </c:pt>
              </c:strCache>
            </c:strRef>
          </c:tx>
          <c:explosion val="0"/>
          <c:dPt>
            <c:idx val="0"/>
            <c:bubble3D val="0"/>
          </c:dPt>
          <c:dPt>
            <c:idx val="1"/>
            <c:bubble3D val="0"/>
          </c:dPt>
          <c:dPt>
            <c:idx val="2"/>
            <c:bubble3D val="0"/>
          </c:dPt>
          <c:dPt>
            <c:idx val="3"/>
            <c:bubble3D val="0"/>
          </c:dPt>
          <c:dPt>
            <c:idx val="4"/>
            <c:bubble3D val="0"/>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delete val="1"/>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0.00%</c:formatCode>
                <c:ptCount val="5"/>
                <c:pt idx="0">
                  <c:v>0.824600000000001</c:v>
                </c:pt>
                <c:pt idx="1">
                  <c:v>0.1754</c:v>
                </c:pt>
                <c:pt idx="2" c:formatCode="General">
                  <c:v>0</c:v>
                </c:pt>
                <c:pt idx="3" c:formatCode="General">
                  <c:v>0</c:v>
                </c:pt>
                <c:pt idx="4" c:formatCode="General">
                  <c:v>0</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2019年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c:v>
                </c:pt>
                <c:pt idx="1">
                  <c:v>支</c:v>
                </c:pt>
              </c:strCache>
            </c:strRef>
          </c:cat>
          <c:val>
            <c:numRef>
              <c:f>Sheet1!$B$2:$B$3</c:f>
              <c:numCache>
                <c:formatCode>General</c:formatCode>
                <c:ptCount val="2"/>
                <c:pt idx="0">
                  <c:v>196.87</c:v>
                </c:pt>
                <c:pt idx="1">
                  <c:v>196.87</c:v>
                </c:pt>
              </c:numCache>
            </c:numRef>
          </c:val>
        </c:ser>
        <c:ser>
          <c:idx val="1"/>
          <c:order val="1"/>
          <c:tx>
            <c:strRef>
              <c:f>Sheet1!$C$1</c:f>
              <c:strCache>
                <c:ptCount val="1"/>
                <c:pt idx="0">
                  <c:v>2020年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收</c:v>
                </c:pt>
                <c:pt idx="1">
                  <c:v>支</c:v>
                </c:pt>
              </c:strCache>
            </c:strRef>
          </c:cat>
          <c:val>
            <c:numRef>
              <c:f>Sheet1!$C$2:$C$3</c:f>
              <c:numCache>
                <c:formatCode>General</c:formatCode>
                <c:ptCount val="2"/>
                <c:pt idx="0">
                  <c:v>230.27</c:v>
                </c:pt>
                <c:pt idx="1">
                  <c:v>230.27</c:v>
                </c:pt>
              </c:numCache>
            </c:numRef>
          </c:val>
        </c:ser>
        <c:dLbls>
          <c:showLegendKey val="0"/>
          <c:showVal val="1"/>
          <c:showCatName val="0"/>
          <c:showSerName val="0"/>
          <c:showPercent val="0"/>
          <c:showBubbleSize val="0"/>
        </c:dLbls>
        <c:gapWidth val="150"/>
        <c:axId val="107024384"/>
        <c:axId val="107026304"/>
      </c:barChart>
      <c:catAx>
        <c:axId val="1070243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7026304"/>
        <c:crosses val="autoZero"/>
        <c:auto val="1"/>
        <c:lblAlgn val="ctr"/>
        <c:lblOffset val="100"/>
        <c:noMultiLvlLbl val="0"/>
      </c:catAx>
      <c:valAx>
        <c:axId val="107026304"/>
        <c:scaling>
          <c:orientation val="minMax"/>
          <c:max val="250"/>
          <c:min val="0"/>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7024384"/>
        <c:crosses val="autoZero"/>
        <c:crossBetween val="between"/>
        <c:majorUnit val="50"/>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支出额</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2019年</c:v>
                </c:pt>
                <c:pt idx="1">
                  <c:v>2020年</c:v>
                </c:pt>
              </c:strCache>
            </c:strRef>
          </c:cat>
          <c:val>
            <c:numRef>
              <c:f>Sheet1!$B$2:$B$3</c:f>
              <c:numCache>
                <c:formatCode>General</c:formatCode>
                <c:ptCount val="2"/>
                <c:pt idx="0">
                  <c:v>196.87</c:v>
                </c:pt>
                <c:pt idx="1">
                  <c:v>230.27</c:v>
                </c:pt>
              </c:numCache>
            </c:numRef>
          </c:val>
        </c:ser>
        <c:dLbls>
          <c:showLegendKey val="0"/>
          <c:showVal val="1"/>
          <c:showCatName val="0"/>
          <c:showSerName val="0"/>
          <c:showPercent val="0"/>
          <c:showBubbleSize val="0"/>
        </c:dLbls>
        <c:gapWidth val="150"/>
        <c:axId val="110619648"/>
        <c:axId val="110842624"/>
      </c:barChart>
      <c:catAx>
        <c:axId val="11061964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0842624"/>
        <c:crosses val="autoZero"/>
        <c:auto val="1"/>
        <c:lblAlgn val="ctr"/>
        <c:lblOffset val="100"/>
        <c:noMultiLvlLbl val="0"/>
      </c:catAx>
      <c:valAx>
        <c:axId val="110842624"/>
        <c:scaling>
          <c:orientation val="minMax"/>
          <c:max val="250"/>
          <c:min val="0"/>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0619648"/>
        <c:crosses val="autoZero"/>
        <c:crossBetween val="between"/>
        <c:majorUnit val="50"/>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支出结构</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Sheet1!$A$2:$A$5</c:f>
              <c:strCache>
                <c:ptCount val="4"/>
                <c:pt idx="0">
                  <c:v>科学技术类支出</c:v>
                </c:pt>
                <c:pt idx="1">
                  <c:v>社会保障和就业类支出</c:v>
                </c:pt>
                <c:pt idx="2">
                  <c:v>卫生健康支出</c:v>
                </c:pt>
                <c:pt idx="3">
                  <c:v>住房保障支出</c:v>
                </c:pt>
              </c:strCache>
            </c:strRef>
          </c:cat>
          <c:val>
            <c:numRef>
              <c:f>Sheet1!$B$2:$B$5</c:f>
              <c:numCache>
                <c:formatCode>0.00%</c:formatCode>
                <c:ptCount val="4"/>
                <c:pt idx="0">
                  <c:v>0.756600000000001</c:v>
                </c:pt>
                <c:pt idx="1">
                  <c:v>0.1039</c:v>
                </c:pt>
                <c:pt idx="2">
                  <c:v>0.0682</c:v>
                </c:pt>
                <c:pt idx="3">
                  <c:v>0.0713</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支出结构</c:v>
                </c:pt>
              </c:strCache>
            </c:strRef>
          </c:tx>
          <c:explosion val="0"/>
          <c:dPt>
            <c:idx val="0"/>
            <c:bubble3D val="0"/>
          </c:dPt>
          <c:dPt>
            <c:idx val="1"/>
            <c:bubble3D val="0"/>
          </c:dPt>
          <c:dPt>
            <c:idx val="2"/>
            <c:bubble3D val="0"/>
          </c:dPt>
          <c:dLbls>
            <c:delete val="1"/>
          </c:dLbls>
          <c:cat>
            <c:strRef>
              <c:f>Sheet1!$A$2:$A$4</c:f>
              <c:strCache>
                <c:ptCount val="3"/>
                <c:pt idx="0">
                  <c:v>因公出国（境）费支出</c:v>
                </c:pt>
                <c:pt idx="1">
                  <c:v>公务用车购置及运行维护费支出</c:v>
                </c:pt>
                <c:pt idx="2">
                  <c:v>公务接待费支出</c:v>
                </c:pt>
              </c:strCache>
            </c:strRef>
          </c:cat>
          <c:val>
            <c:numRef>
              <c:f>Sheet1!$B$2:$B$4</c:f>
              <c:numCache>
                <c:formatCode>0%</c:formatCode>
                <c:ptCount val="3"/>
                <c:pt idx="0">
                  <c:v>0</c:v>
                </c:pt>
                <c:pt idx="1">
                  <c:v>0</c:v>
                </c:pt>
                <c:pt idx="2">
                  <c:v>0</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38</Pages>
  <Words>12348</Words>
  <Characters>13076</Characters>
  <Lines>110</Lines>
  <Paragraphs>31</Paragraphs>
  <TotalTime>9</TotalTime>
  <ScaleCrop>false</ScaleCrop>
  <LinksUpToDate>false</LinksUpToDate>
  <CharactersWithSpaces>19220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mz</cp:lastModifiedBy>
  <cp:lastPrinted>2021-07-31T03:56:00Z</cp:lastPrinted>
  <dcterms:modified xsi:type="dcterms:W3CDTF">2022-11-11T05:37:48Z</dcterms:modified>
  <dc:title>四川省***</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B9C5CDB32D924F8EBFF7F622DC2A63CF</vt:lpwstr>
  </property>
</Properties>
</file>