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1FD81">
      <w:pPr>
        <w:ind w:firstLine="641"/>
        <w:rPr>
          <w:rFonts w:ascii="Times New Roman" w:hAnsi="Times New Roman" w:eastAsia="方正公文仿宋"/>
          <w:szCs w:val="32"/>
          <w:u w:val="none"/>
        </w:rPr>
      </w:pPr>
    </w:p>
    <w:p w14:paraId="0957E2F9">
      <w:pPr>
        <w:ind w:firstLine="0" w:firstLineChars="0"/>
        <w:jc w:val="center"/>
        <w:outlineLvl w:val="0"/>
        <w:rPr>
          <w:rFonts w:hint="eastAsia" w:ascii="方正小标宋简体" w:hAnsi="黑体" w:eastAsia="方正小标宋简体" w:cs="黑体"/>
          <w:b w:val="0"/>
          <w:bCs/>
          <w:sz w:val="44"/>
          <w:szCs w:val="44"/>
          <w:u w:val="none"/>
        </w:rPr>
      </w:pPr>
      <w:bookmarkStart w:id="5" w:name="_GoBack"/>
      <w:bookmarkEnd w:id="5"/>
      <w:r>
        <w:rPr>
          <w:rFonts w:hint="eastAsia" w:ascii="方正小标宋简体" w:hAnsi="黑体" w:eastAsia="方正小标宋简体" w:cs="黑体"/>
          <w:bCs/>
          <w:sz w:val="44"/>
          <w:szCs w:val="44"/>
          <w:u w:val="none"/>
        </w:rPr>
        <w:t>关于支持平台经济（以电商为重点）产业链</w:t>
      </w:r>
    </w:p>
    <w:p w14:paraId="7678563E">
      <w:pPr>
        <w:ind w:firstLine="0" w:firstLineChars="0"/>
        <w:jc w:val="center"/>
        <w:outlineLvl w:val="0"/>
        <w:rPr>
          <w:rFonts w:hint="eastAsia" w:ascii="方正小标宋简体" w:hAnsi="黑体" w:eastAsia="方正小标宋简体" w:cs="黑体"/>
          <w:bCs/>
          <w:sz w:val="44"/>
          <w:szCs w:val="44"/>
          <w:u w:val="none"/>
        </w:rPr>
      </w:pPr>
      <w:r>
        <w:rPr>
          <w:rFonts w:hint="eastAsia" w:ascii="方正小标宋简体" w:hAnsi="黑体" w:eastAsia="方正小标宋简体" w:cs="黑体"/>
          <w:bCs/>
          <w:sz w:val="44"/>
          <w:szCs w:val="44"/>
          <w:u w:val="none"/>
        </w:rPr>
        <w:t>高质量发展的若干政策</w:t>
      </w:r>
    </w:p>
    <w:p w14:paraId="396CD097">
      <w:pPr>
        <w:ind w:firstLine="0" w:firstLineChars="0"/>
        <w:jc w:val="center"/>
        <w:outlineLvl w:val="0"/>
        <w:rPr>
          <w:rFonts w:hint="eastAsia" w:ascii="楷体" w:hAnsi="楷体" w:eastAsia="楷体" w:cs="楷体_GB2312"/>
          <w:b w:val="0"/>
          <w:bCs/>
          <w:szCs w:val="32"/>
          <w:u w:val="none"/>
        </w:rPr>
      </w:pPr>
      <w:r>
        <w:rPr>
          <w:rFonts w:hint="eastAsia" w:ascii="楷体" w:hAnsi="楷体" w:eastAsia="楷体" w:cs="楷体_GB2312"/>
          <w:bCs/>
          <w:szCs w:val="32"/>
          <w:u w:val="none"/>
        </w:rPr>
        <w:t>（</w:t>
      </w:r>
      <w:r>
        <w:rPr>
          <w:rFonts w:hint="eastAsia" w:ascii="楷体" w:hAnsi="楷体" w:eastAsia="楷体" w:cs="楷体_GB2312"/>
          <w:bCs/>
          <w:szCs w:val="32"/>
          <w:u w:val="none"/>
          <w:lang w:eastAsia="zh-CN"/>
        </w:rPr>
        <w:t>征求意见</w:t>
      </w:r>
      <w:r>
        <w:rPr>
          <w:rFonts w:hint="eastAsia" w:ascii="楷体" w:hAnsi="楷体" w:eastAsia="楷体" w:cs="楷体_GB2312"/>
          <w:bCs/>
          <w:szCs w:val="32"/>
          <w:u w:val="none"/>
        </w:rPr>
        <w:t>稿）</w:t>
      </w:r>
    </w:p>
    <w:p w14:paraId="48693E0E">
      <w:pPr>
        <w:pStyle w:val="35"/>
        <w:spacing w:line="580" w:lineRule="exact"/>
        <w:ind w:firstLine="640" w:firstLineChars="200"/>
        <w:rPr>
          <w:rFonts w:ascii="Times New Roman" w:hAnsi="Times New Roman" w:eastAsia="仿宋_GB2312"/>
          <w:sz w:val="32"/>
          <w:szCs w:val="32"/>
          <w:u w:val="none"/>
        </w:rPr>
      </w:pPr>
    </w:p>
    <w:p w14:paraId="6655BE83">
      <w:pPr>
        <w:pStyle w:val="35"/>
        <w:spacing w:after="0" w:line="580" w:lineRule="exact"/>
        <w:ind w:firstLine="640" w:firstLineChars="200"/>
        <w:rPr>
          <w:rFonts w:ascii="Times New Roman" w:hAnsi="Times New Roman" w:eastAsia="仿宋_GB2312"/>
          <w:sz w:val="32"/>
          <w:szCs w:val="32"/>
          <w:u w:val="none"/>
        </w:rPr>
      </w:pPr>
      <w:r>
        <w:rPr>
          <w:rFonts w:hint="eastAsia" w:ascii="Times New Roman" w:hAnsi="Times New Roman" w:eastAsia="仿宋_GB2312"/>
          <w:sz w:val="32"/>
          <w:szCs w:val="32"/>
          <w:u w:val="none"/>
        </w:rPr>
        <w:t>为深入贯彻落实省委、省政府关于推动我省平台经济（以电商为重点）产业链建圈强链的决策部署，更好发挥平台经济在扩内需、稳就业、惠民生以及赋能实体经济、发展新质生产力等方面的重要作用，支持平台经济产业链高质量发展、加快发展、共赢发展，制定以下政策。</w:t>
      </w:r>
    </w:p>
    <w:p w14:paraId="5418409A">
      <w:pPr>
        <w:pStyle w:val="35"/>
        <w:spacing w:after="0" w:line="580" w:lineRule="exact"/>
        <w:ind w:firstLine="640" w:firstLineChars="200"/>
        <w:rPr>
          <w:rFonts w:ascii="Times New Roman" w:hAnsi="Times New Roman" w:eastAsia="仿宋_GB2312"/>
          <w:sz w:val="32"/>
          <w:szCs w:val="32"/>
          <w:u w:val="none"/>
        </w:rPr>
      </w:pPr>
      <w:r>
        <w:rPr>
          <w:rFonts w:hint="eastAsia" w:ascii="黑体" w:hAnsi="黑体" w:eastAsia="黑体"/>
          <w:sz w:val="32"/>
          <w:szCs w:val="32"/>
          <w:u w:val="none"/>
        </w:rPr>
        <w:t>一、加大电商批发零售类企业培育力度。</w:t>
      </w:r>
      <w:r>
        <w:rPr>
          <w:rFonts w:hint="eastAsia" w:ascii="Times New Roman" w:hAnsi="Times New Roman" w:eastAsia="仿宋_GB2312"/>
          <w:sz w:val="32"/>
          <w:szCs w:val="32"/>
          <w:u w:val="none"/>
        </w:rPr>
        <w:t>对上年度通过互联网实现零售规模超过5000万元或批发规模超过10亿元，且增速超出同期全省社会消费品零售总额增速、批发业销售额增速2个百分点以上的电商销售企业，按企业综合发展成效分梯度给予激励，单个企业最高不超过500万元。</w:t>
      </w:r>
    </w:p>
    <w:p w14:paraId="7F714257">
      <w:pPr>
        <w:pStyle w:val="35"/>
        <w:spacing w:after="0" w:line="580" w:lineRule="exact"/>
        <w:ind w:firstLine="640" w:firstLineChars="200"/>
        <w:rPr>
          <w:rFonts w:ascii="Times New Roman" w:hAnsi="Times New Roman" w:eastAsia="仿宋_GB2312"/>
          <w:sz w:val="32"/>
          <w:szCs w:val="32"/>
          <w:u w:val="none"/>
        </w:rPr>
      </w:pPr>
      <w:r>
        <w:rPr>
          <w:rFonts w:hint="eastAsia" w:ascii="黑体" w:hAnsi="黑体" w:eastAsia="黑体"/>
          <w:sz w:val="32"/>
          <w:szCs w:val="32"/>
          <w:u w:val="none"/>
        </w:rPr>
        <w:t>二、支持电商服务类企业快速成长。</w:t>
      </w:r>
      <w:r>
        <w:rPr>
          <w:rFonts w:hint="eastAsia" w:ascii="Times New Roman" w:hAnsi="Times New Roman" w:eastAsia="仿宋_GB2312"/>
          <w:sz w:val="32"/>
          <w:szCs w:val="32"/>
          <w:u w:val="none"/>
        </w:rPr>
        <w:t>对上年度营业收入超过1亿元且增速超过同期全省服务业增加值增速</w:t>
      </w:r>
      <w:r>
        <w:rPr>
          <w:rFonts w:hint="eastAsia" w:ascii="Times New Roman" w:hAnsi="Times New Roman" w:eastAsia="仿宋_GB2312"/>
          <w:sz w:val="32"/>
          <w:szCs w:val="32"/>
          <w:u w:val="none"/>
          <w:lang w:val="en-US" w:eastAsia="zh-CN"/>
        </w:rPr>
        <w:t>3</w:t>
      </w:r>
      <w:r>
        <w:rPr>
          <w:rFonts w:hint="eastAsia" w:ascii="Times New Roman" w:hAnsi="Times New Roman" w:eastAsia="仿宋_GB2312"/>
          <w:sz w:val="32"/>
          <w:szCs w:val="32"/>
          <w:u w:val="none"/>
        </w:rPr>
        <w:t>个百分点以上的电商服务类企业，按企业综合发展成效分梯度给予激励，单个企业最高不超过500万元；</w:t>
      </w:r>
      <w:bookmarkStart w:id="0" w:name="_Hlk216711050"/>
      <w:r>
        <w:rPr>
          <w:rFonts w:hint="eastAsia" w:ascii="Times New Roman" w:hAnsi="Times New Roman" w:eastAsia="仿宋_GB2312"/>
          <w:sz w:val="32"/>
          <w:szCs w:val="32"/>
          <w:u w:val="none"/>
        </w:rPr>
        <w:t>支持平台经济赋能实体经济发展，对运用数字化手段提升烟火小店等发展成效显著的生活服务类电商平台企业</w:t>
      </w:r>
      <w:bookmarkEnd w:id="0"/>
      <w:r>
        <w:rPr>
          <w:rFonts w:hint="eastAsia" w:ascii="Times New Roman" w:hAnsi="Times New Roman" w:eastAsia="仿宋_GB2312"/>
          <w:sz w:val="32"/>
          <w:szCs w:val="32"/>
          <w:u w:val="none"/>
        </w:rPr>
        <w:t>，单个企业另行激励最高不超过200万元。</w:t>
      </w:r>
    </w:p>
    <w:p w14:paraId="2131C0B5">
      <w:pPr>
        <w:pStyle w:val="35"/>
        <w:spacing w:after="0" w:line="580" w:lineRule="exact"/>
        <w:ind w:firstLine="640" w:firstLineChars="200"/>
        <w:rPr>
          <w:rFonts w:ascii="Times New Roman" w:hAnsi="Times New Roman" w:eastAsia="仿宋_GB2312"/>
          <w:sz w:val="32"/>
          <w:szCs w:val="32"/>
          <w:u w:val="none"/>
        </w:rPr>
      </w:pPr>
      <w:bookmarkStart w:id="1" w:name="_Hlk216709684"/>
      <w:r>
        <w:rPr>
          <w:rFonts w:hint="eastAsia" w:ascii="黑体" w:hAnsi="黑体" w:eastAsia="黑体"/>
          <w:sz w:val="32"/>
          <w:szCs w:val="32"/>
          <w:u w:val="none"/>
        </w:rPr>
        <w:t>三、支持平台经济创新项目建设</w:t>
      </w:r>
      <w:bookmarkEnd w:id="1"/>
      <w:r>
        <w:rPr>
          <w:rFonts w:hint="eastAsia" w:ascii="黑体" w:hAnsi="黑体" w:eastAsia="黑体"/>
          <w:sz w:val="32"/>
          <w:szCs w:val="32"/>
          <w:u w:val="none"/>
        </w:rPr>
        <w:t>。</w:t>
      </w:r>
      <w:bookmarkStart w:id="2" w:name="_Hlk216709761"/>
      <w:r>
        <w:rPr>
          <w:rFonts w:hint="eastAsia" w:ascii="Times New Roman" w:hAnsi="Times New Roman" w:eastAsia="仿宋_GB2312"/>
          <w:sz w:val="32"/>
          <w:szCs w:val="32"/>
          <w:u w:val="none"/>
        </w:rPr>
        <w:t>支持平台经济产业链企业开展线上线下融合的商业模式、科技研发、应用场景、服务业态等创新项目建设</w:t>
      </w:r>
      <w:bookmarkEnd w:id="2"/>
      <w:r>
        <w:rPr>
          <w:rFonts w:hint="eastAsia" w:ascii="Times New Roman" w:hAnsi="Times New Roman" w:eastAsia="仿宋_GB2312"/>
          <w:sz w:val="32"/>
          <w:szCs w:val="32"/>
          <w:u w:val="none"/>
        </w:rPr>
        <w:t>，</w:t>
      </w:r>
      <w:bookmarkStart w:id="3" w:name="OLE_LINK1"/>
      <w:r>
        <w:rPr>
          <w:rFonts w:hint="eastAsia" w:ascii="Times New Roman" w:hAnsi="Times New Roman" w:eastAsia="仿宋_GB2312"/>
          <w:sz w:val="32"/>
          <w:szCs w:val="32"/>
          <w:u w:val="none"/>
        </w:rPr>
        <w:t>按项目上年度在川实际投入比例和成效给予激励</w:t>
      </w:r>
      <w:bookmarkEnd w:id="3"/>
      <w:r>
        <w:rPr>
          <w:rFonts w:hint="eastAsia" w:ascii="Times New Roman" w:hAnsi="Times New Roman" w:eastAsia="仿宋_GB2312"/>
          <w:sz w:val="32"/>
          <w:szCs w:val="32"/>
          <w:u w:val="none"/>
        </w:rPr>
        <w:t>，单个企业总计最高不超过200万元，其中属于在</w:t>
      </w:r>
      <w:r>
        <w:rPr>
          <w:rFonts w:hint="eastAsia" w:ascii="Times New Roman" w:hAnsi="Times New Roman" w:eastAsia="仿宋_GB2312"/>
          <w:sz w:val="32"/>
          <w:szCs w:val="32"/>
          <w:u w:val="none"/>
          <w:lang w:eastAsia="zh-CN"/>
        </w:rPr>
        <w:t>国际</w:t>
      </w:r>
      <w:r>
        <w:rPr>
          <w:rFonts w:hint="eastAsia" w:ascii="Times New Roman" w:hAnsi="Times New Roman" w:eastAsia="仿宋_GB2312"/>
          <w:sz w:val="32"/>
          <w:szCs w:val="32"/>
          <w:u w:val="none"/>
        </w:rPr>
        <w:t>国内、中西部首发首试的项目，激励金额分别追加20%、10%。鼓励外贸综合服务企业创新开展线上综合服务，按其实际投入和成效给予激励，单个企业最高不超过50万元。</w:t>
      </w:r>
    </w:p>
    <w:p w14:paraId="338EBB26">
      <w:pPr>
        <w:pStyle w:val="35"/>
        <w:spacing w:after="0" w:line="580" w:lineRule="exact"/>
        <w:ind w:firstLine="640" w:firstLineChars="200"/>
        <w:rPr>
          <w:rFonts w:ascii="Times New Roman" w:hAnsi="Times New Roman" w:eastAsia="仿宋_GB2312"/>
          <w:sz w:val="32"/>
          <w:szCs w:val="32"/>
          <w:u w:val="none"/>
        </w:rPr>
      </w:pPr>
      <w:r>
        <w:rPr>
          <w:rFonts w:hint="eastAsia" w:ascii="黑体" w:hAnsi="黑体" w:eastAsia="黑体"/>
          <w:sz w:val="32"/>
          <w:szCs w:val="32"/>
          <w:u w:val="none"/>
        </w:rPr>
        <w:t>四、支持平台经济载体建设。</w:t>
      </w:r>
      <w:r>
        <w:rPr>
          <w:rFonts w:hint="eastAsia" w:ascii="Times New Roman" w:hAnsi="Times New Roman" w:eastAsia="仿宋_GB2312"/>
          <w:sz w:val="32"/>
          <w:szCs w:val="32"/>
          <w:u w:val="none"/>
        </w:rPr>
        <w:t>对上年度在国家电商示范基地综合评价中取得第一档次的，给予运营机构最高不超过100万元激励。对上年度获评省级电商基地、跨境电商园区，依据经营规模、企业数量、配套服务等综合成效，按梯度给予运营机构激励，最高不超过50万元。</w:t>
      </w:r>
    </w:p>
    <w:p w14:paraId="28ECE640">
      <w:pPr>
        <w:pStyle w:val="35"/>
        <w:spacing w:after="0" w:line="580" w:lineRule="exact"/>
        <w:ind w:firstLine="640" w:firstLineChars="200"/>
        <w:rPr>
          <w:rFonts w:ascii="Times New Roman" w:hAnsi="Times New Roman" w:eastAsia="仿宋_GB2312"/>
          <w:sz w:val="32"/>
          <w:szCs w:val="32"/>
          <w:u w:val="none"/>
        </w:rPr>
      </w:pPr>
      <w:r>
        <w:rPr>
          <w:rFonts w:hint="eastAsia" w:ascii="黑体" w:hAnsi="黑体" w:eastAsia="黑体"/>
          <w:sz w:val="32"/>
          <w:szCs w:val="32"/>
          <w:u w:val="none"/>
        </w:rPr>
        <w:t>五、支持重大平台经济活动开展。</w:t>
      </w:r>
      <w:r>
        <w:rPr>
          <w:rFonts w:hint="eastAsia" w:ascii="Times New Roman" w:hAnsi="Times New Roman" w:eastAsia="仿宋_GB2312"/>
          <w:sz w:val="32"/>
          <w:szCs w:val="32"/>
          <w:u w:val="none"/>
        </w:rPr>
        <w:t>支持行业商协会、电商企业在川开展消费节、电商竞赛、资源对接会和展会等重大平台经济活动。对上年度主办全国、中西部有影响力和带动力的综合类或垂直领域类活动的</w:t>
      </w:r>
      <w:r>
        <w:rPr>
          <w:rFonts w:hint="eastAsia" w:ascii="Times New Roman" w:hAnsi="Times New Roman" w:eastAsia="仿宋_GB2312"/>
          <w:color w:val="auto"/>
          <w:sz w:val="32"/>
          <w:szCs w:val="32"/>
          <w:highlight w:val="none"/>
          <w:u w:val="none"/>
        </w:rPr>
        <w:t>主体</w:t>
      </w:r>
      <w:r>
        <w:rPr>
          <w:rFonts w:hint="eastAsia" w:ascii="Times New Roman" w:hAnsi="Times New Roman" w:eastAsia="仿宋_GB2312"/>
          <w:sz w:val="32"/>
          <w:szCs w:val="32"/>
          <w:u w:val="none"/>
        </w:rPr>
        <w:t>，按照其自筹资金实际投入50%、30%的比例予以补助，单项活动补助金额最高不超过1</w:t>
      </w:r>
      <w:r>
        <w:rPr>
          <w:rFonts w:hint="eastAsia" w:ascii="Times New Roman" w:hAnsi="Times New Roman" w:eastAsia="仿宋_GB2312"/>
          <w:sz w:val="32"/>
          <w:szCs w:val="32"/>
          <w:u w:val="none"/>
          <w:lang w:val="en-US" w:eastAsia="zh-CN"/>
        </w:rPr>
        <w:t>00</w:t>
      </w:r>
      <w:r>
        <w:rPr>
          <w:rFonts w:hint="eastAsia" w:ascii="Times New Roman" w:hAnsi="Times New Roman" w:eastAsia="仿宋_GB2312"/>
          <w:sz w:val="32"/>
          <w:szCs w:val="32"/>
          <w:u w:val="none"/>
        </w:rPr>
        <w:t>万元、同一主办单位每年累计补助最高不超过200万元。</w:t>
      </w:r>
    </w:p>
    <w:p w14:paraId="308DDF15">
      <w:pPr>
        <w:pStyle w:val="35"/>
        <w:spacing w:after="0" w:line="580" w:lineRule="exact"/>
        <w:ind w:firstLine="640" w:firstLineChars="200"/>
        <w:rPr>
          <w:rFonts w:ascii="Times New Roman" w:hAnsi="Times New Roman" w:eastAsia="仿宋_GB2312"/>
          <w:sz w:val="32"/>
          <w:szCs w:val="32"/>
          <w:u w:val="none"/>
        </w:rPr>
      </w:pPr>
      <w:r>
        <w:rPr>
          <w:rFonts w:hint="eastAsia" w:ascii="黑体" w:hAnsi="黑体" w:eastAsia="黑体"/>
          <w:sz w:val="32"/>
          <w:szCs w:val="32"/>
          <w:u w:val="none"/>
        </w:rPr>
        <w:t>六、支持平台经济人才队伍建设。</w:t>
      </w:r>
      <w:r>
        <w:rPr>
          <w:rFonts w:hint="eastAsia" w:ascii="Times New Roman" w:hAnsi="Times New Roman" w:eastAsia="仿宋_GB2312"/>
          <w:sz w:val="32"/>
          <w:szCs w:val="32"/>
          <w:u w:val="none"/>
        </w:rPr>
        <w:t>对新入选平台经济产业链领军人才，且其所在企业经营状况较好的个人，按照A、B两类人才类型，一次性分别给予不超过50万元、10万元激励。</w:t>
      </w:r>
    </w:p>
    <w:p w14:paraId="38B1DEAE">
      <w:pPr>
        <w:pStyle w:val="35"/>
        <w:spacing w:after="0" w:line="580" w:lineRule="exact"/>
        <w:ind w:firstLine="640" w:firstLineChars="200"/>
        <w:rPr>
          <w:rFonts w:ascii="Times New Roman" w:hAnsi="Times New Roman" w:eastAsia="仿宋_GB2312"/>
          <w:sz w:val="32"/>
          <w:szCs w:val="32"/>
          <w:u w:val="none"/>
        </w:rPr>
      </w:pPr>
      <w:r>
        <w:rPr>
          <w:rFonts w:hint="eastAsia" w:ascii="黑体" w:hAnsi="黑体" w:eastAsia="黑体"/>
          <w:sz w:val="32"/>
          <w:szCs w:val="32"/>
          <w:u w:val="none"/>
        </w:rPr>
        <w:t>七、加大引导基金支持力度。</w:t>
      </w:r>
      <w:bookmarkStart w:id="4" w:name="_Hlk216711091"/>
      <w:r>
        <w:rPr>
          <w:rFonts w:hint="eastAsia" w:ascii="Times New Roman" w:hAnsi="Times New Roman" w:eastAsia="仿宋_GB2312"/>
          <w:sz w:val="32"/>
          <w:szCs w:val="32"/>
          <w:u w:val="none"/>
        </w:rPr>
        <w:t>用好四川省文旅商贸产业投资引导基金</w:t>
      </w:r>
      <w:bookmarkEnd w:id="4"/>
      <w:r>
        <w:rPr>
          <w:rFonts w:hint="eastAsia" w:ascii="Times New Roman" w:hAnsi="Times New Roman" w:eastAsia="仿宋_GB2312"/>
          <w:sz w:val="32"/>
          <w:szCs w:val="32"/>
          <w:u w:val="none"/>
        </w:rPr>
        <w:t>，以市场化方式带动更多社会资本投入，加大对平台经济产业链建圈强链项目的支持力度。</w:t>
      </w:r>
    </w:p>
    <w:p w14:paraId="2AF82ED4">
      <w:pPr>
        <w:pStyle w:val="35"/>
        <w:spacing w:after="0" w:line="580" w:lineRule="exact"/>
        <w:ind w:firstLine="640" w:firstLineChars="200"/>
        <w:rPr>
          <w:rFonts w:ascii="Times New Roman" w:hAnsi="Times New Roman" w:eastAsia="仿宋_GB2312"/>
          <w:sz w:val="32"/>
          <w:szCs w:val="32"/>
          <w:u w:val="none"/>
        </w:rPr>
      </w:pPr>
      <w:r>
        <w:rPr>
          <w:rFonts w:hint="eastAsia" w:ascii="Times New Roman" w:hAnsi="Times New Roman" w:eastAsia="仿宋_GB2312"/>
          <w:sz w:val="32"/>
          <w:szCs w:val="32"/>
          <w:u w:val="none"/>
        </w:rPr>
        <w:t>本政策中的支持对象按照“就高不就低”的原则，同期不重复享受支持。政策有效期为2026-2028年，每年实施，由商务厅、财政厅共同解释。</w:t>
      </w:r>
    </w:p>
    <w:p w14:paraId="5BC80E33">
      <w:pPr>
        <w:spacing w:line="640" w:lineRule="exact"/>
        <w:ind w:firstLine="721"/>
        <w:jc w:val="both"/>
        <w:rPr>
          <w:rFonts w:hint="eastAsia" w:ascii="方正公文仿宋" w:eastAsia="方正公文仿宋"/>
          <w:sz w:val="36"/>
          <w:szCs w:val="28"/>
          <w:u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814"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3"/>
      </w:pPr>
      <w:r>
        <w:separator/>
      </w:r>
    </w:p>
  </w:endnote>
  <w:endnote w:type="continuationSeparator" w:id="1">
    <w:p>
      <w:pPr>
        <w:spacing w:line="240" w:lineRule="auto"/>
        <w:ind w:firstLine="64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DejaVu Sans"/>
    <w:panose1 w:val="020F0302020204030204"/>
    <w:charset w:val="00"/>
    <w:family w:val="swiss"/>
    <w:pitch w:val="default"/>
    <w:sig w:usb0="00000000" w:usb1="00000000" w:usb2="00000009" w:usb3="00000000" w:csb0="000001FF" w:csb1="00000000"/>
  </w:font>
  <w:font w:name="DejaVu Sans">
    <w:panose1 w:val="020B0606030804020204"/>
    <w:charset w:val="00"/>
    <w:family w:val="auto"/>
    <w:pitch w:val="default"/>
    <w:sig w:usb0="E7006EFF" w:usb1="D200FDFF" w:usb2="0A246029" w:usb3="0400200C" w:csb0="600001FF" w:csb1="DFFF0000"/>
  </w:font>
  <w:font w:name="方正公文仿宋">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63A45">
    <w:pPr>
      <w:pStyle w:val="11"/>
      <w:ind w:firstLine="36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C0388">
    <w:pPr>
      <w:pStyle w:val="11"/>
      <w:ind w:firstLine="36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1B7D3">
    <w:pPr>
      <w:pStyle w:val="11"/>
      <w:ind w:firstLine="361"/>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3"/>
      </w:pPr>
      <w:r>
        <w:separator/>
      </w:r>
    </w:p>
  </w:footnote>
  <w:footnote w:type="continuationSeparator" w:id="1">
    <w:p>
      <w:pPr>
        <w:spacing w:line="240" w:lineRule="auto"/>
        <w:ind w:firstLine="64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4BFC3">
    <w:pPr>
      <w:pStyle w:val="12"/>
      <w:ind w:firstLine="361"/>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8A58B">
    <w:pPr>
      <w:pStyle w:val="12"/>
      <w:ind w:firstLine="361"/>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76048">
    <w:pPr>
      <w:pStyle w:val="12"/>
      <w:ind w:firstLine="361"/>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014"/>
    <w:rsid w:val="00000465"/>
    <w:rsid w:val="00054C24"/>
    <w:rsid w:val="00076FD7"/>
    <w:rsid w:val="000B60FA"/>
    <w:rsid w:val="000D2595"/>
    <w:rsid w:val="00195CA5"/>
    <w:rsid w:val="001E37D2"/>
    <w:rsid w:val="00257111"/>
    <w:rsid w:val="00261C74"/>
    <w:rsid w:val="00324F0C"/>
    <w:rsid w:val="00427FC4"/>
    <w:rsid w:val="004344DF"/>
    <w:rsid w:val="00452897"/>
    <w:rsid w:val="00481BEC"/>
    <w:rsid w:val="00660230"/>
    <w:rsid w:val="008C6623"/>
    <w:rsid w:val="008E5F0D"/>
    <w:rsid w:val="00904014"/>
    <w:rsid w:val="00940DE1"/>
    <w:rsid w:val="00951898"/>
    <w:rsid w:val="009C3912"/>
    <w:rsid w:val="009F449C"/>
    <w:rsid w:val="00A14D97"/>
    <w:rsid w:val="00A930C8"/>
    <w:rsid w:val="00AC461A"/>
    <w:rsid w:val="00BF54F7"/>
    <w:rsid w:val="00C63814"/>
    <w:rsid w:val="00DA3C20"/>
    <w:rsid w:val="00DD73A9"/>
    <w:rsid w:val="00E039A0"/>
    <w:rsid w:val="733F6B36"/>
    <w:rsid w:val="7CFE391E"/>
    <w:rsid w:val="7DB7819C"/>
    <w:rsid w:val="EBFB6B4E"/>
    <w:rsid w:val="EE5E2215"/>
    <w:rsid w:val="FFF75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80" w:lineRule="exact"/>
      <w:ind w:firstLine="200" w:firstLineChars="200"/>
      <w:jc w:val="left"/>
    </w:pPr>
    <w:rPr>
      <w:rFonts w:ascii="仿宋" w:hAnsi="仿宋" w:eastAsia="仿宋" w:cs="Times New Roman"/>
      <w:b/>
      <w:kern w:val="2"/>
      <w:sz w:val="32"/>
      <w:szCs w:val="24"/>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Cs w:val="32"/>
    </w:rPr>
  </w:style>
  <w:style w:type="paragraph" w:styleId="5">
    <w:name w:val="heading 4"/>
    <w:basedOn w:val="1"/>
    <w:next w:val="1"/>
    <w:link w:val="20"/>
    <w:semiHidden/>
    <w:unhideWhenUsed/>
    <w:qFormat/>
    <w:uiPriority w:val="9"/>
    <w:pPr>
      <w:keepNext/>
      <w:keepLines/>
      <w:spacing w:before="80" w:after="40"/>
      <w:outlineLvl w:val="3"/>
    </w:pPr>
    <w:rPr>
      <w:rFonts w:asciiTheme="minorHAnsi" w:hAnsiTheme="minorHAnsi" w:eastAsiaTheme="minorEastAsia" w:cstheme="majorBidi"/>
      <w:color w:val="2E75B6"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asciiTheme="minorHAnsi" w:hAnsiTheme="minorHAnsi" w:eastAsiaTheme="minorEastAsia" w:cstheme="majorBidi"/>
      <w:color w:val="2E75B6"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asciiTheme="minorHAnsi" w:hAnsiTheme="minorHAnsi" w:eastAsiaTheme="minorEastAsia" w:cstheme="majorBidi"/>
      <w:bCs/>
      <w:color w:val="2E75B6" w:themeColor="accent1" w:themeShade="BF"/>
    </w:rPr>
  </w:style>
  <w:style w:type="paragraph" w:styleId="8">
    <w:name w:val="heading 7"/>
    <w:basedOn w:val="1"/>
    <w:next w:val="1"/>
    <w:link w:val="23"/>
    <w:semiHidden/>
    <w:unhideWhenUsed/>
    <w:qFormat/>
    <w:uiPriority w:val="9"/>
    <w:pPr>
      <w:keepNext/>
      <w:keepLines/>
      <w:spacing w:before="40"/>
      <w:outlineLvl w:val="6"/>
    </w:pPr>
    <w:rPr>
      <w:rFonts w:asciiTheme="minorHAnsi" w:hAnsiTheme="minorHAnsi" w:eastAsiaTheme="minorEastAsia" w:cstheme="majorBidi"/>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tLeast"/>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tLeast"/>
      <w:jc w:val="center"/>
    </w:pPr>
    <w:rPr>
      <w:sz w:val="18"/>
      <w:szCs w:val="18"/>
    </w:rPr>
  </w:style>
  <w:style w:type="paragraph" w:styleId="13">
    <w:name w:val="Subtitle"/>
    <w:basedOn w:val="1"/>
    <w:next w:val="1"/>
    <w:link w:val="27"/>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b/>
      <w:color w:val="2E75B6"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b/>
      <w:color w:val="2E75B6"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b/>
      <w:color w:val="2E75B6" w:themeColor="accent1" w:themeShade="BF"/>
    </w:rPr>
  </w:style>
  <w:style w:type="character" w:customStyle="1" w:styleId="20">
    <w:name w:val="标题 4 字符"/>
    <w:basedOn w:val="16"/>
    <w:link w:val="5"/>
    <w:semiHidden/>
    <w:qFormat/>
    <w:uiPriority w:val="9"/>
    <w:rPr>
      <w:rFonts w:asciiTheme="minorHAnsi" w:eastAsiaTheme="minorEastAsia" w:cstheme="majorBidi"/>
      <w:b/>
      <w:color w:val="2E75B6" w:themeColor="accent1" w:themeShade="BF"/>
      <w:sz w:val="28"/>
      <w:szCs w:val="28"/>
    </w:rPr>
  </w:style>
  <w:style w:type="character" w:customStyle="1" w:styleId="21">
    <w:name w:val="标题 5 字符"/>
    <w:basedOn w:val="16"/>
    <w:link w:val="6"/>
    <w:semiHidden/>
    <w:qFormat/>
    <w:uiPriority w:val="9"/>
    <w:rPr>
      <w:rFonts w:asciiTheme="minorHAnsi" w:eastAsiaTheme="minorEastAsia" w:cstheme="majorBidi"/>
      <w:b/>
      <w:color w:val="2E75B6" w:themeColor="accent1" w:themeShade="BF"/>
      <w:sz w:val="24"/>
      <w:szCs w:val="24"/>
    </w:rPr>
  </w:style>
  <w:style w:type="character" w:customStyle="1" w:styleId="22">
    <w:name w:val="标题 6 字符"/>
    <w:basedOn w:val="16"/>
    <w:link w:val="7"/>
    <w:semiHidden/>
    <w:qFormat/>
    <w:uiPriority w:val="9"/>
    <w:rPr>
      <w:rFonts w:asciiTheme="minorHAnsi" w:eastAsiaTheme="minorEastAsia" w:cstheme="majorBidi"/>
      <w:b/>
      <w:bCs/>
      <w:color w:val="2E75B6" w:themeColor="accent1" w:themeShade="BF"/>
      <w:szCs w:val="24"/>
    </w:rPr>
  </w:style>
  <w:style w:type="character" w:customStyle="1" w:styleId="23">
    <w:name w:val="标题 7 字符"/>
    <w:basedOn w:val="16"/>
    <w:link w:val="8"/>
    <w:semiHidden/>
    <w:qFormat/>
    <w:uiPriority w:val="9"/>
    <w:rPr>
      <w:rFonts w:asciiTheme="minorHAnsi" w:eastAsiaTheme="minorEastAsia" w:cstheme="majorBidi"/>
      <w:b/>
      <w:bCs/>
      <w:color w:val="595959" w:themeColor="text1" w:themeTint="A6"/>
      <w:szCs w:val="24"/>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asciiTheme="minorHAnsi" w:eastAsiaTheme="minorEastAsia" w:cstheme="majorBidi"/>
      <w:b/>
      <w:color w:val="595959" w:themeColor="text1" w:themeTint="A6"/>
      <w:szCs w:val="24"/>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asciiTheme="minorHAnsi" w:eastAsiaTheme="majorEastAsia" w:cstheme="majorBidi"/>
      <w:b/>
      <w:color w:val="595959" w:themeColor="text1" w:themeTint="A6"/>
      <w:szCs w:val="24"/>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b/>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b/>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rFonts w:ascii="仿宋" w:hAnsi="仿宋" w:eastAsia="仿宋" w:cs="Times New Roman"/>
      <w:b/>
      <w:i/>
      <w:iCs/>
      <w:color w:val="404040" w:themeColor="text1" w:themeTint="BF"/>
      <w:szCs w:val="24"/>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E75B6" w:themeColor="accent1" w:themeShade="BF"/>
    </w:rPr>
  </w:style>
  <w:style w:type="paragraph" w:styleId="32">
    <w:name w:val="Intense Quote"/>
    <w:basedOn w:val="1"/>
    <w:next w:val="1"/>
    <w:link w:val="33"/>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3">
    <w:name w:val="明显引用 字符"/>
    <w:basedOn w:val="16"/>
    <w:link w:val="32"/>
    <w:qFormat/>
    <w:uiPriority w:val="30"/>
    <w:rPr>
      <w:rFonts w:ascii="仿宋" w:hAnsi="仿宋" w:eastAsia="仿宋" w:cs="Times New Roman"/>
      <w:b/>
      <w:i/>
      <w:iCs/>
      <w:color w:val="2E75B6" w:themeColor="accent1" w:themeShade="BF"/>
      <w:szCs w:val="24"/>
    </w:rPr>
  </w:style>
  <w:style w:type="character" w:customStyle="1" w:styleId="34">
    <w:name w:val="Intense Reference"/>
    <w:basedOn w:val="16"/>
    <w:qFormat/>
    <w:uiPriority w:val="32"/>
    <w:rPr>
      <w:b/>
      <w:bCs/>
      <w:smallCaps/>
      <w:color w:val="2E75B6" w:themeColor="accent1" w:themeShade="BF"/>
      <w:spacing w:val="5"/>
    </w:rPr>
  </w:style>
  <w:style w:type="paragraph" w:customStyle="1" w:styleId="35">
    <w:name w:val="正文缩进1"/>
    <w:basedOn w:val="1"/>
    <w:unhideWhenUsed/>
    <w:qFormat/>
    <w:uiPriority w:val="0"/>
    <w:pPr>
      <w:widowControl w:val="0"/>
      <w:spacing w:after="160" w:line="278" w:lineRule="auto"/>
      <w:ind w:firstLine="880" w:firstLineChars="0"/>
      <w:jc w:val="both"/>
    </w:pPr>
    <w:rPr>
      <w:rFonts w:ascii="Calibri" w:hAnsi="Calibri" w:eastAsia="宋体"/>
      <w:b w:val="0"/>
      <w:sz w:val="21"/>
    </w:rPr>
  </w:style>
  <w:style w:type="character" w:customStyle="1" w:styleId="36">
    <w:name w:val="页眉 字符"/>
    <w:basedOn w:val="16"/>
    <w:link w:val="12"/>
    <w:qFormat/>
    <w:uiPriority w:val="99"/>
    <w:rPr>
      <w:rFonts w:ascii="仿宋" w:hAnsi="仿宋" w:eastAsia="仿宋" w:cs="Times New Roman"/>
      <w:b/>
      <w:sz w:val="18"/>
      <w:szCs w:val="18"/>
    </w:rPr>
  </w:style>
  <w:style w:type="character" w:customStyle="1" w:styleId="37">
    <w:name w:val="页脚 字符"/>
    <w:basedOn w:val="16"/>
    <w:link w:val="11"/>
    <w:qFormat/>
    <w:uiPriority w:val="99"/>
    <w:rPr>
      <w:rFonts w:ascii="仿宋" w:hAnsi="仿宋" w:eastAsia="仿宋" w:cs="Times New Roman"/>
      <w:b/>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171</Words>
  <Characters>979</Characters>
  <Lines>8</Lines>
  <Paragraphs>2</Paragraphs>
  <TotalTime>60</TotalTime>
  <ScaleCrop>false</ScaleCrop>
  <LinksUpToDate>false</LinksUpToDate>
  <CharactersWithSpaces>1148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2025-12-18T03:32:00Z</dcterms:created>
  <dc:creator>蒋波</dc:creator>
  <cp:lastModifiedBy>swxx</cp:lastModifiedBy>
  <cp:lastPrinted>2025-12-18T10:47:00Z</cp:lastPrinted>
  <dcterms:modified xsi:type="dcterms:W3CDTF">2025-12-18T18:35:08Z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C1BD4ECF73B9191ADCD843690FB3BBE4_43</vt:lpwstr>
  </property>
</Properties>
</file>